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关于申报2018年度省级现代服务业（新闻出版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广播影视）发展专项资金项目的公示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2018年度省级现代服务业（新闻出版广播影视）发展专项资金项目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的申报工作已于日前结束，现将拟推荐项目予以公示，公示时间为2018年4月28日至2018年5月2日。对公示情况有何意见，请向市文广新局文化产业处反映。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联系人：季天龙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电话：0513-85099573 18762753999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附件：2018年度省级现代服务业（新闻出版广播影视）发展专项资金项目申报汇总表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南通市文化广电新闻出版局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2018年4月28日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2018年度省级现代服务业（新闻出版广播影视）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发展专项资金项目申报汇总表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（排名不分先后）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210"/>
        <w:gridCol w:w="2100"/>
        <w:gridCol w:w="2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通典图书发行基地建设项目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出版发行和版权服务类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江苏通典文化传媒有限公司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“慧源优读”社区书店连锁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出版发行和版权服务类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如东慧源优读文化有限公司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26集高清三维原创动画片《少年张謇》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精品创作生产类　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南通妙吧影视动漫有限公司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网络大电影《千术2千王之战》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精品创作生产类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南通两只熊影业有限公司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丰和昊远影视拍摄及道具制作基地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广播影视类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海门丰和昊远文化传媒有限公司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朗晖数字化技改项目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出版发行和版权服务类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江苏省朗晖实业发展有限公司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瓦栏花型版权交易中心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出版发行和版权服务类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江苏瓦栏知识产权服务有限公司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版权花型成品形象展示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出版发行和版权服务类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南通市嘉宇斯纺织科技有限公司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书刊绿色印刷工艺技术改造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  <w:t>出版发行和版权服务类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>南通韬奋印刷有限公司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autami">
    <w:panose1 w:val="020B0502040204020203"/>
    <w:charset w:val="00"/>
    <w:family w:val="swiss"/>
    <w:pitch w:val="default"/>
    <w:sig w:usb0="00200003" w:usb1="00000000" w:usb2="00000000" w:usb3="00000000" w:csb0="0000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Myriad Pro">
    <w:altName w:val="Malgun Gothic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3395"/>
    <w:rsid w:val="0BF83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fouce"/>
    <w:basedOn w:val="3"/>
    <w:uiPriority w:val="0"/>
    <w:rPr>
      <w:rFonts w:ascii="微软雅黑" w:hAnsi="微软雅黑" w:eastAsia="微软雅黑" w:cs="微软雅黑"/>
      <w:color w:val="FFFFFF"/>
      <w:sz w:val="27"/>
      <w:szCs w:val="27"/>
      <w:bdr w:val="none" w:color="auto" w:sz="0" w:space="0"/>
      <w:shd w:val="clear" w:fill="1067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2018-04-28T07:37:00Z</dcterms:created>
  <dc:creator>user</dc:creator>
  <cp:lastModifiedBy>user</cp:lastModifiedBy>
  <dcterms:modified xsi:type="dcterms:W3CDTF">2018-05-02T00:59:43Z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