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80" w:lineRule="exact"/>
        <w:jc w:val="both"/>
        <w:textAlignment w:val="auto"/>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附件1：</w:t>
      </w:r>
    </w:p>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hAnsi="仿宋_GB2312" w:eastAsia="仿宋_GB2312" w:cs="仿宋_GB2312"/>
          <w:b/>
          <w:bCs/>
          <w:sz w:val="36"/>
          <w:szCs w:val="36"/>
          <w:lang w:val="en-US" w:eastAsia="zh-CN"/>
        </w:rPr>
      </w:pPr>
    </w:p>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南通市智慧文旅平台网络安全等级保护测评服务项目</w:t>
      </w:r>
    </w:p>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报价单</w:t>
      </w:r>
    </w:p>
    <w:p>
      <w:pPr>
        <w:keepNext w:val="0"/>
        <w:keepLines w:val="0"/>
        <w:pageBreakBefore w:val="0"/>
        <w:kinsoku/>
        <w:wordWrap/>
        <w:overflowPunct/>
        <w:topLinePunct w:val="0"/>
        <w:autoSpaceDE/>
        <w:autoSpaceDN/>
        <w:bidi w:val="0"/>
        <w:adjustRightInd/>
        <w:spacing w:line="580" w:lineRule="exact"/>
        <w:jc w:val="center"/>
        <w:textAlignment w:val="auto"/>
        <w:rPr>
          <w:rFonts w:hint="eastAsia" w:ascii="方正小标宋_GBK" w:hAnsi="仿宋" w:eastAsia="方正小标宋_GBK"/>
          <w:sz w:val="44"/>
          <w:szCs w:val="44"/>
          <w:lang w:eastAsia="zh-CN"/>
        </w:rPr>
      </w:pPr>
      <w:r>
        <w:rPr>
          <w:rFonts w:hint="eastAsia" w:ascii="方正仿宋_GB2312" w:hAnsi="方正仿宋_GB2312" w:eastAsia="方正仿宋_GB2312" w:cs="方正仿宋_GB2312"/>
          <w:sz w:val="32"/>
          <w:szCs w:val="32"/>
          <w:vertAlign w:val="baseline"/>
          <w:lang w:val="en-US" w:eastAsia="zh-CN"/>
        </w:rPr>
        <w:t xml:space="preserve">                                  </w:t>
      </w:r>
      <w:r>
        <w:rPr>
          <w:rFonts w:hint="eastAsia" w:ascii="方正仿宋_GB2312" w:hAnsi="方正仿宋_GB2312" w:eastAsia="方正仿宋_GB2312" w:cs="方正仿宋_GB2312"/>
          <w:sz w:val="32"/>
          <w:szCs w:val="32"/>
          <w:vertAlign w:val="baseline"/>
          <w:lang w:eastAsia="zh-CN"/>
        </w:rPr>
        <w:t>金额：元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4922"/>
        <w:gridCol w:w="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序号</w:t>
            </w:r>
          </w:p>
        </w:tc>
        <w:tc>
          <w:tcPr>
            <w:tcW w:w="4922"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val="en-US" w:eastAsia="zh-CN"/>
              </w:rPr>
              <w:t>系统</w:t>
            </w:r>
            <w:r>
              <w:rPr>
                <w:rFonts w:hint="eastAsia" w:ascii="仿宋_GB2312" w:hAnsi="仿宋_GB2312" w:eastAsia="仿宋_GB2312" w:cs="仿宋_GB2312"/>
                <w:b/>
                <w:bCs/>
                <w:sz w:val="32"/>
                <w:szCs w:val="32"/>
                <w:vertAlign w:val="baseline"/>
                <w:lang w:eastAsia="zh-CN"/>
              </w:rPr>
              <w:t>名称</w:t>
            </w:r>
          </w:p>
        </w:tc>
        <w:tc>
          <w:tcPr>
            <w:tcW w:w="3122"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分项</w:t>
            </w:r>
            <w:r>
              <w:rPr>
                <w:rFonts w:hint="eastAsia" w:ascii="仿宋_GB2312" w:hAnsi="仿宋_GB2312" w:eastAsia="仿宋_GB2312" w:cs="仿宋_GB2312"/>
                <w:b/>
                <w:bCs/>
                <w:sz w:val="32"/>
                <w:szCs w:val="32"/>
                <w:vertAlign w:val="baseli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4922"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kern w:val="0"/>
                <w:sz w:val="32"/>
                <w:szCs w:val="32"/>
              </w:rPr>
              <w:t>南通市智慧文旅平台</w:t>
            </w:r>
          </w:p>
        </w:tc>
        <w:tc>
          <w:tcPr>
            <w:tcW w:w="3122"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4922"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kern w:val="0"/>
                <w:sz w:val="32"/>
                <w:szCs w:val="32"/>
              </w:rPr>
              <w:t>环濠河博物馆群视频汇集平台</w:t>
            </w:r>
          </w:p>
        </w:tc>
        <w:tc>
          <w:tcPr>
            <w:tcW w:w="3122"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3"/>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kern w:val="0"/>
                <w:sz w:val="32"/>
                <w:szCs w:val="32"/>
                <w:lang w:val="en-US" w:eastAsia="zh-CN"/>
              </w:rPr>
              <w:t>总价：¥</w:t>
            </w:r>
            <w:r>
              <w:rPr>
                <w:rFonts w:hint="eastAsia" w:ascii="仿宋_GB2312" w:hAnsi="仿宋_GB2312" w:eastAsia="仿宋_GB2312" w:cs="仿宋_GB2312"/>
                <w:b/>
                <w:bCs w:val="0"/>
                <w:color w:val="auto"/>
                <w:sz w:val="32"/>
                <w:szCs w:val="32"/>
                <w:u w:val="single"/>
                <w:lang w:val="en-US" w:eastAsia="zh-CN"/>
              </w:rPr>
              <w:t xml:space="preserve">  </w:t>
            </w:r>
            <w:r>
              <w:rPr>
                <w:rFonts w:hint="eastAsia" w:ascii="仿宋_GB2312" w:hAnsi="仿宋_GB2312" w:eastAsia="仿宋_GB2312" w:cs="仿宋_GB2312"/>
                <w:b/>
                <w:bCs w:val="0"/>
                <w:color w:val="auto"/>
                <w:sz w:val="32"/>
                <w:szCs w:val="32"/>
                <w:u w:val="single"/>
              </w:rPr>
              <w:t xml:space="preserve">  </w:t>
            </w:r>
            <w:r>
              <w:rPr>
                <w:rFonts w:hint="eastAsia" w:ascii="仿宋_GB2312" w:hAnsi="仿宋_GB2312" w:eastAsia="仿宋_GB2312" w:cs="仿宋_GB2312"/>
                <w:b/>
                <w:bCs w:val="0"/>
                <w:color w:val="auto"/>
                <w:sz w:val="32"/>
                <w:szCs w:val="32"/>
                <w:u w:val="single"/>
                <w:lang w:val="en-US" w:eastAsia="zh-CN"/>
              </w:rPr>
              <w:t xml:space="preserve">              </w:t>
            </w:r>
            <w:r>
              <w:rPr>
                <w:rFonts w:hint="eastAsia" w:ascii="仿宋_GB2312" w:hAnsi="仿宋_GB2312" w:eastAsia="仿宋_GB2312" w:cs="仿宋_GB2312"/>
                <w:b/>
                <w:bCs w:val="0"/>
                <w:color w:val="auto"/>
                <w:sz w:val="32"/>
                <w:szCs w:val="32"/>
                <w:u w:val="single"/>
              </w:rPr>
              <w:t xml:space="preserve">  </w:t>
            </w:r>
            <w:r>
              <w:rPr>
                <w:rFonts w:hint="eastAsia" w:ascii="仿宋_GB2312" w:hAnsi="仿宋_GB2312" w:eastAsia="仿宋_GB2312" w:cs="仿宋_GB2312"/>
                <w:b/>
                <w:bCs w:val="0"/>
                <w:color w:val="auto"/>
                <w:sz w:val="32"/>
                <w:szCs w:val="32"/>
              </w:rPr>
              <w:t>元</w:t>
            </w:r>
            <w:r>
              <w:rPr>
                <w:rFonts w:hint="eastAsia" w:ascii="仿宋_GB2312" w:hAnsi="仿宋_GB2312" w:eastAsia="仿宋_GB2312" w:cs="仿宋_GB2312"/>
                <w:b/>
                <w:bCs w:val="0"/>
                <w:color w:val="auto"/>
                <w:sz w:val="32"/>
                <w:szCs w:val="32"/>
                <w:lang w:eastAsia="zh-CN"/>
              </w:rPr>
              <w:t>，</w:t>
            </w:r>
          </w:p>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b/>
                <w:bCs w:val="0"/>
                <w:color w:val="auto"/>
                <w:sz w:val="32"/>
                <w:szCs w:val="32"/>
              </w:rPr>
              <w:t>人民币</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大</w:t>
            </w:r>
            <w:r>
              <w:rPr>
                <w:rFonts w:hint="eastAsia" w:ascii="仿宋_GB2312" w:hAnsi="仿宋_GB2312" w:eastAsia="仿宋_GB2312" w:cs="仿宋_GB2312"/>
                <w:b/>
                <w:bCs w:val="0"/>
                <w:color w:val="auto"/>
                <w:sz w:val="32"/>
                <w:szCs w:val="32"/>
                <w:lang w:eastAsia="zh-CN"/>
              </w:rPr>
              <w:t>写）</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u w:val="single"/>
              </w:rPr>
              <w:t xml:space="preserve">     　      </w:t>
            </w:r>
            <w:r>
              <w:rPr>
                <w:rFonts w:hint="eastAsia" w:ascii="仿宋_GB2312" w:hAnsi="仿宋_GB2312" w:eastAsia="仿宋_GB2312" w:cs="仿宋_GB2312"/>
                <w:b/>
                <w:bCs w:val="0"/>
                <w:color w:val="auto"/>
                <w:sz w:val="32"/>
                <w:szCs w:val="32"/>
                <w:u w:val="single"/>
                <w:lang w:val="en-US" w:eastAsia="zh-CN"/>
              </w:rPr>
              <w:t xml:space="preserve">   </w:t>
            </w:r>
            <w:r>
              <w:rPr>
                <w:rFonts w:hint="eastAsia" w:ascii="仿宋_GB2312" w:hAnsi="仿宋_GB2312" w:eastAsia="仿宋_GB2312" w:cs="仿宋_GB2312"/>
                <w:b/>
                <w:bCs w:val="0"/>
                <w:color w:val="auto"/>
                <w:sz w:val="32"/>
                <w:szCs w:val="32"/>
                <w:u w:val="single"/>
              </w:rPr>
              <w:t xml:space="preserve">  </w:t>
            </w:r>
            <w:r>
              <w:rPr>
                <w:rFonts w:hint="eastAsia" w:ascii="仿宋_GB2312" w:hAnsi="仿宋_GB2312" w:eastAsia="仿宋_GB2312" w:cs="仿宋_GB2312"/>
                <w:b/>
                <w:bCs w:val="0"/>
                <w:color w:val="auto"/>
                <w:sz w:val="32"/>
                <w:szCs w:val="32"/>
                <w:u w:val="single"/>
                <w:lang w:val="en-US" w:eastAsia="zh-CN"/>
              </w:rPr>
              <w:t xml:space="preserve">     </w:t>
            </w:r>
            <w:r>
              <w:rPr>
                <w:rFonts w:hint="eastAsia" w:ascii="仿宋_GB2312" w:hAnsi="仿宋_GB2312" w:eastAsia="仿宋_GB2312" w:cs="仿宋_GB2312"/>
                <w:b/>
                <w:bCs w:val="0"/>
                <w:color w:val="auto"/>
                <w:sz w:val="32"/>
                <w:szCs w:val="32"/>
                <w:u w:val="single"/>
              </w:rPr>
              <w:t xml:space="preserve">    </w:t>
            </w:r>
            <w:r>
              <w:rPr>
                <w:rFonts w:hint="eastAsia" w:ascii="仿宋_GB2312" w:hAnsi="仿宋_GB2312" w:eastAsia="仿宋_GB2312" w:cs="仿宋_GB2312"/>
                <w:b/>
                <w:bCs w:val="0"/>
                <w:color w:val="auto"/>
                <w:sz w:val="32"/>
                <w:szCs w:val="32"/>
              </w:rPr>
              <w:t>。</w:t>
            </w:r>
          </w:p>
        </w:tc>
      </w:tr>
    </w:tbl>
    <w:p>
      <w:pPr>
        <w:keepNext w:val="0"/>
        <w:keepLines w:val="0"/>
        <w:pageBreakBefore w:val="0"/>
        <w:kinsoku/>
        <w:wordWrap/>
        <w:overflowPunct/>
        <w:topLinePunct w:val="0"/>
        <w:autoSpaceDE/>
        <w:autoSpaceDN/>
        <w:bidi w:val="0"/>
        <w:adjustRightInd/>
        <w:spacing w:line="580" w:lineRule="exact"/>
        <w:jc w:val="both"/>
        <w:textAlignment w:val="auto"/>
        <w:rPr>
          <w:rFonts w:hint="eastAsia" w:ascii="方正仿宋_GBK" w:hAnsi="方正仿宋_GBK" w:eastAsia="方正仿宋_GBK" w:cs="方正仿宋_GBK"/>
          <w:color w:val="auto"/>
          <w:sz w:val="28"/>
          <w:szCs w:val="28"/>
          <w:lang w:eastAsia="zh-CN"/>
        </w:rPr>
      </w:pPr>
    </w:p>
    <w:p/>
    <w:p/>
    <w:p/>
    <w:p/>
    <w:p/>
    <w:p/>
    <w:p/>
    <w:p/>
    <w:p/>
    <w:p/>
    <w:p/>
    <w:p/>
    <w:p/>
    <w:p/>
    <w:p/>
    <w:p/>
    <w:p/>
    <w:p/>
    <w:p/>
    <w:p>
      <w:pPr>
        <w:pStyle w:val="2"/>
      </w:pPr>
    </w:p>
    <w:p>
      <w:pPr>
        <w:keepNext w:val="0"/>
        <w:keepLines w:val="0"/>
        <w:pageBreakBefore w:val="0"/>
        <w:kinsoku/>
        <w:wordWrap/>
        <w:overflowPunct/>
        <w:topLinePunct w:val="0"/>
        <w:autoSpaceDE/>
        <w:autoSpaceDN/>
        <w:bidi w:val="0"/>
        <w:adjustRightInd/>
        <w:spacing w:line="580" w:lineRule="exact"/>
        <w:jc w:val="both"/>
        <w:textAlignment w:val="auto"/>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附件2：</w:t>
      </w:r>
    </w:p>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南通市智慧文旅平台网络安全等级保护测评服务项目</w:t>
      </w:r>
    </w:p>
    <w:p>
      <w:pPr>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项目需求</w:t>
      </w:r>
    </w:p>
    <w:p>
      <w:pPr>
        <w:widowControl/>
        <w:spacing w:line="360" w:lineRule="auto"/>
        <w:ind w:firstLine="480" w:firstLineChars="200"/>
        <w:rPr>
          <w:rFonts w:cs="楷体_GB2312" w:asciiTheme="majorEastAsia" w:hAnsiTheme="majorEastAsia" w:eastAsiaTheme="majorEastAsia"/>
          <w:bCs/>
          <w:kern w:val="0"/>
          <w:sz w:val="24"/>
          <w:szCs w:val="24"/>
        </w:rPr>
      </w:pPr>
      <w:r>
        <w:rPr>
          <w:rFonts w:hint="eastAsia" w:cs="宋体" w:asciiTheme="majorEastAsia" w:hAnsiTheme="majorEastAsia" w:eastAsiaTheme="majorEastAsia"/>
          <w:kern w:val="0"/>
          <w:sz w:val="24"/>
          <w:szCs w:val="24"/>
        </w:rPr>
        <w:t>为落实《网络安全法》第二十一条第三款“网络运营者应当按照网络安全等级保护制度的要求”，</w:t>
      </w:r>
      <w:r>
        <w:rPr>
          <w:rFonts w:cs="宋体" w:asciiTheme="majorEastAsia" w:hAnsiTheme="majorEastAsia" w:eastAsiaTheme="majorEastAsia"/>
          <w:kern w:val="0"/>
          <w:sz w:val="24"/>
          <w:szCs w:val="24"/>
        </w:rPr>
        <w:t>南通市文化广电和旅游局</w:t>
      </w:r>
      <w:r>
        <w:rPr>
          <w:rFonts w:hint="eastAsia" w:cs="仿宋" w:asciiTheme="majorEastAsia" w:hAnsiTheme="majorEastAsia" w:eastAsiaTheme="majorEastAsia"/>
          <w:sz w:val="24"/>
          <w:szCs w:val="24"/>
        </w:rPr>
        <w:t>决定</w:t>
      </w:r>
      <w:r>
        <w:rPr>
          <w:rFonts w:cs="仿宋" w:asciiTheme="majorEastAsia" w:hAnsiTheme="majorEastAsia" w:eastAsiaTheme="majorEastAsia"/>
          <w:sz w:val="24"/>
          <w:szCs w:val="24"/>
        </w:rPr>
        <w:t>对单位信息系统</w:t>
      </w:r>
      <w:r>
        <w:rPr>
          <w:rFonts w:hint="eastAsia" w:cs="仿宋" w:asciiTheme="majorEastAsia" w:hAnsiTheme="majorEastAsia" w:eastAsiaTheme="majorEastAsia"/>
          <w:sz w:val="24"/>
          <w:szCs w:val="24"/>
        </w:rPr>
        <w:t>进行网络</w:t>
      </w:r>
      <w:r>
        <w:rPr>
          <w:rFonts w:cs="仿宋" w:asciiTheme="majorEastAsia" w:hAnsiTheme="majorEastAsia" w:eastAsiaTheme="majorEastAsia"/>
          <w:sz w:val="24"/>
          <w:szCs w:val="24"/>
        </w:rPr>
        <w:t>安全等级保护测评</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以明确信息系统</w:t>
      </w:r>
      <w:r>
        <w:rPr>
          <w:rFonts w:hint="eastAsia" w:cs="宋体" w:asciiTheme="majorEastAsia" w:hAnsiTheme="majorEastAsia" w:eastAsiaTheme="majorEastAsia"/>
          <w:kern w:val="0"/>
          <w:sz w:val="24"/>
          <w:szCs w:val="24"/>
        </w:rPr>
        <w:t>现状</w:t>
      </w:r>
      <w:r>
        <w:rPr>
          <w:rFonts w:cs="宋体" w:asciiTheme="majorEastAsia" w:hAnsiTheme="majorEastAsia" w:eastAsiaTheme="majorEastAsia"/>
          <w:kern w:val="0"/>
          <w:sz w:val="24"/>
          <w:szCs w:val="24"/>
        </w:rPr>
        <w:t>，</w:t>
      </w:r>
      <w:r>
        <w:rPr>
          <w:rFonts w:hint="eastAsia" w:cs="宋体" w:asciiTheme="majorEastAsia" w:hAnsiTheme="majorEastAsia" w:eastAsiaTheme="majorEastAsia"/>
          <w:kern w:val="0"/>
          <w:sz w:val="24"/>
          <w:szCs w:val="24"/>
        </w:rPr>
        <w:t>发现</w:t>
      </w:r>
      <w:r>
        <w:rPr>
          <w:rFonts w:cs="宋体" w:asciiTheme="majorEastAsia" w:hAnsiTheme="majorEastAsia" w:eastAsiaTheme="majorEastAsia"/>
          <w:kern w:val="0"/>
          <w:sz w:val="24"/>
          <w:szCs w:val="24"/>
        </w:rPr>
        <w:t>系统</w:t>
      </w:r>
      <w:r>
        <w:rPr>
          <w:rFonts w:hint="eastAsia" w:cs="宋体" w:asciiTheme="majorEastAsia" w:hAnsiTheme="majorEastAsia" w:eastAsiaTheme="majorEastAsia"/>
          <w:kern w:val="0"/>
          <w:sz w:val="24"/>
          <w:szCs w:val="24"/>
        </w:rPr>
        <w:t>内部</w:t>
      </w:r>
      <w:r>
        <w:rPr>
          <w:rFonts w:cs="宋体" w:asciiTheme="majorEastAsia" w:hAnsiTheme="majorEastAsia" w:eastAsiaTheme="majorEastAsia"/>
          <w:kern w:val="0"/>
          <w:sz w:val="24"/>
          <w:szCs w:val="24"/>
        </w:rPr>
        <w:t>存在的安全隐患和不足，明确</w:t>
      </w:r>
      <w:r>
        <w:rPr>
          <w:rFonts w:hint="eastAsia" w:cs="宋体" w:asciiTheme="majorEastAsia" w:hAnsiTheme="majorEastAsia" w:eastAsiaTheme="majorEastAsia"/>
          <w:kern w:val="0"/>
          <w:sz w:val="24"/>
          <w:szCs w:val="24"/>
        </w:rPr>
        <w:t>整改方向</w:t>
      </w:r>
      <w:r>
        <w:rPr>
          <w:rFonts w:cs="宋体" w:asciiTheme="majorEastAsia" w:hAnsiTheme="majorEastAsia" w:eastAsiaTheme="majorEastAsia"/>
          <w:kern w:val="0"/>
          <w:sz w:val="24"/>
          <w:szCs w:val="24"/>
        </w:rPr>
        <w:t>，降低系统被攻击的风险</w:t>
      </w:r>
      <w:r>
        <w:rPr>
          <w:rFonts w:hint="eastAsia" w:cs="宋体" w:asciiTheme="majorEastAsia" w:hAnsiTheme="majorEastAsia" w:eastAsiaTheme="majorEastAsia"/>
          <w:kern w:val="0"/>
          <w:sz w:val="24"/>
          <w:szCs w:val="24"/>
        </w:rPr>
        <w:t>。</w:t>
      </w:r>
    </w:p>
    <w:p>
      <w:pPr>
        <w:keepNext/>
        <w:keepLines/>
        <w:spacing w:line="360" w:lineRule="auto"/>
        <w:outlineLvl w:val="1"/>
        <w:rPr>
          <w:rFonts w:cs="仿宋" w:asciiTheme="majorEastAsia" w:hAnsiTheme="majorEastAsia" w:eastAsiaTheme="majorEastAsia"/>
          <w:bCs/>
          <w:sz w:val="24"/>
          <w:szCs w:val="24"/>
        </w:rPr>
      </w:pPr>
      <w:r>
        <w:rPr>
          <w:rFonts w:hint="eastAsia" w:cs="仿宋" w:asciiTheme="majorEastAsia" w:hAnsiTheme="majorEastAsia" w:eastAsiaTheme="majorEastAsia"/>
          <w:b/>
          <w:bCs/>
          <w:sz w:val="24"/>
          <w:szCs w:val="24"/>
        </w:rPr>
        <w:t>一、本项目测评范围</w:t>
      </w:r>
    </w:p>
    <w:tbl>
      <w:tblPr>
        <w:tblStyle w:val="4"/>
        <w:tblW w:w="43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4210"/>
        <w:gridCol w:w="1237"/>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49" w:type="pct"/>
            <w:vAlign w:val="center"/>
          </w:tcPr>
          <w:p>
            <w:pPr>
              <w:spacing w:line="360" w:lineRule="auto"/>
              <w:jc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序号</w:t>
            </w:r>
          </w:p>
        </w:tc>
        <w:tc>
          <w:tcPr>
            <w:tcW w:w="2648" w:type="pct"/>
            <w:vAlign w:val="center"/>
          </w:tcPr>
          <w:p>
            <w:pPr>
              <w:spacing w:line="360" w:lineRule="auto"/>
              <w:jc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系统名称</w:t>
            </w:r>
          </w:p>
        </w:tc>
        <w:tc>
          <w:tcPr>
            <w:tcW w:w="778" w:type="pct"/>
            <w:vAlign w:val="center"/>
          </w:tcPr>
          <w:p>
            <w:pPr>
              <w:spacing w:line="360" w:lineRule="auto"/>
              <w:jc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系统数量</w:t>
            </w:r>
          </w:p>
        </w:tc>
        <w:tc>
          <w:tcPr>
            <w:tcW w:w="1023" w:type="pct"/>
            <w:vAlign w:val="center"/>
          </w:tcPr>
          <w:p>
            <w:pPr>
              <w:spacing w:line="360" w:lineRule="auto"/>
              <w:jc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备案情况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49" w:type="pct"/>
            <w:vAlign w:val="center"/>
          </w:tcPr>
          <w:p>
            <w:pPr>
              <w:numPr>
                <w:ilvl w:val="0"/>
                <w:numId w:val="1"/>
              </w:numPr>
              <w:spacing w:line="360" w:lineRule="auto"/>
              <w:jc w:val="center"/>
              <w:rPr>
                <w:rFonts w:cs="仿宋" w:asciiTheme="majorEastAsia" w:hAnsiTheme="majorEastAsia" w:eastAsiaTheme="majorEastAsia"/>
                <w:sz w:val="24"/>
                <w:szCs w:val="24"/>
              </w:rPr>
            </w:pPr>
          </w:p>
        </w:tc>
        <w:tc>
          <w:tcPr>
            <w:tcW w:w="2648" w:type="pct"/>
            <w:vAlign w:val="center"/>
          </w:tcPr>
          <w:p>
            <w:pPr>
              <w:spacing w:line="360" w:lineRule="auto"/>
              <w:jc w:val="left"/>
              <w:rPr>
                <w:rFonts w:cs="仿宋" w:asciiTheme="majorEastAsia" w:hAnsiTheme="majorEastAsia" w:eastAsiaTheme="majorEastAsia"/>
                <w:sz w:val="24"/>
                <w:szCs w:val="24"/>
              </w:rPr>
            </w:pPr>
            <w:r>
              <w:rPr>
                <w:rFonts w:cs="宋体" w:asciiTheme="majorEastAsia" w:hAnsiTheme="majorEastAsia" w:eastAsiaTheme="majorEastAsia"/>
                <w:kern w:val="0"/>
                <w:sz w:val="24"/>
                <w:szCs w:val="24"/>
              </w:rPr>
              <w:t>南通市</w:t>
            </w:r>
            <w:r>
              <w:rPr>
                <w:rFonts w:hint="eastAsia" w:cs="宋体" w:asciiTheme="majorEastAsia" w:hAnsiTheme="majorEastAsia" w:eastAsiaTheme="majorEastAsia"/>
                <w:kern w:val="0"/>
                <w:sz w:val="24"/>
                <w:szCs w:val="24"/>
              </w:rPr>
              <w:t>智慧文旅平台</w:t>
            </w:r>
          </w:p>
        </w:tc>
        <w:tc>
          <w:tcPr>
            <w:tcW w:w="778" w:type="pct"/>
            <w:vAlign w:val="center"/>
          </w:tcPr>
          <w:p>
            <w:pPr>
              <w:spacing w:line="360" w:lineRule="auto"/>
              <w:jc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1个</w:t>
            </w:r>
          </w:p>
        </w:tc>
        <w:tc>
          <w:tcPr>
            <w:tcW w:w="1023" w:type="pct"/>
            <w:vAlign w:val="center"/>
          </w:tcPr>
          <w:p>
            <w:pPr>
              <w:spacing w:line="360" w:lineRule="auto"/>
              <w:jc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49" w:type="pct"/>
            <w:vAlign w:val="center"/>
          </w:tcPr>
          <w:p>
            <w:pPr>
              <w:numPr>
                <w:ilvl w:val="0"/>
                <w:numId w:val="1"/>
              </w:numPr>
              <w:spacing w:line="360" w:lineRule="auto"/>
              <w:jc w:val="center"/>
              <w:rPr>
                <w:rFonts w:cs="仿宋" w:asciiTheme="majorEastAsia" w:hAnsiTheme="majorEastAsia" w:eastAsiaTheme="majorEastAsia"/>
                <w:sz w:val="24"/>
                <w:szCs w:val="24"/>
              </w:rPr>
            </w:pPr>
          </w:p>
        </w:tc>
        <w:tc>
          <w:tcPr>
            <w:tcW w:w="2648" w:type="pct"/>
            <w:vAlign w:val="center"/>
          </w:tcPr>
          <w:p>
            <w:pPr>
              <w:spacing w:line="360" w:lineRule="auto"/>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环濠河博物馆群视频汇集平台</w:t>
            </w:r>
          </w:p>
        </w:tc>
        <w:tc>
          <w:tcPr>
            <w:tcW w:w="778" w:type="pct"/>
            <w:vAlign w:val="center"/>
          </w:tcPr>
          <w:p>
            <w:pPr>
              <w:spacing w:line="360" w:lineRule="auto"/>
              <w:jc w:val="center"/>
              <w:rPr>
                <w:rFonts w:hint="default" w:cs="仿宋" w:asciiTheme="majorEastAsia" w:hAnsiTheme="majorEastAsia" w:eastAsiaTheme="majorEastAsia"/>
                <w:sz w:val="24"/>
                <w:szCs w:val="24"/>
                <w:lang w:val="en-US" w:eastAsia="zh-CN"/>
              </w:rPr>
            </w:pPr>
            <w:r>
              <w:rPr>
                <w:rFonts w:hint="eastAsia" w:cs="仿宋" w:asciiTheme="majorEastAsia" w:hAnsiTheme="majorEastAsia" w:eastAsiaTheme="majorEastAsia"/>
                <w:sz w:val="24"/>
                <w:szCs w:val="24"/>
                <w:lang w:val="en-US" w:eastAsia="zh-CN"/>
              </w:rPr>
              <w:t>1个</w:t>
            </w:r>
          </w:p>
        </w:tc>
        <w:tc>
          <w:tcPr>
            <w:tcW w:w="1023" w:type="pct"/>
            <w:vAlign w:val="center"/>
          </w:tcPr>
          <w:p>
            <w:pPr>
              <w:spacing w:line="360" w:lineRule="auto"/>
              <w:jc w:val="center"/>
              <w:rPr>
                <w:rFonts w:hint="eastAsia" w:cs="仿宋" w:asciiTheme="majorEastAsia" w:hAnsiTheme="majorEastAsia" w:eastAsiaTheme="majorEastAsia"/>
                <w:sz w:val="24"/>
                <w:szCs w:val="24"/>
                <w:lang w:val="en-US" w:eastAsia="zh-CN"/>
              </w:rPr>
            </w:pPr>
            <w:r>
              <w:rPr>
                <w:rFonts w:hint="eastAsia" w:cs="仿宋" w:asciiTheme="majorEastAsia" w:hAnsiTheme="majorEastAsia" w:eastAsiaTheme="majorEastAsia"/>
                <w:sz w:val="24"/>
                <w:szCs w:val="24"/>
                <w:lang w:val="en-US" w:eastAsia="zh-CN"/>
              </w:rPr>
              <w:t>二级</w:t>
            </w:r>
          </w:p>
        </w:tc>
      </w:tr>
    </w:tbl>
    <w:p>
      <w:pPr>
        <w:keepNext/>
        <w:keepLines/>
        <w:spacing w:line="360" w:lineRule="auto"/>
        <w:outlineLvl w:val="1"/>
        <w:rPr>
          <w:rFonts w:cs="仿宋" w:asciiTheme="majorEastAsia" w:hAnsiTheme="majorEastAsia" w:eastAsiaTheme="majorEastAsia"/>
          <w:bCs/>
          <w:sz w:val="24"/>
          <w:szCs w:val="24"/>
        </w:rPr>
      </w:pPr>
      <w:r>
        <w:rPr>
          <w:rFonts w:hint="eastAsia" w:cs="仿宋" w:asciiTheme="majorEastAsia" w:hAnsiTheme="majorEastAsia" w:eastAsiaTheme="majorEastAsia"/>
          <w:b/>
          <w:bCs/>
          <w:sz w:val="24"/>
          <w:szCs w:val="24"/>
        </w:rPr>
        <w:t>二、测评内容</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1、总体要求：</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A．完成上述系统安全等级测评工作，测评后经用户方确认，出具符合</w:t>
      </w:r>
      <w:r>
        <w:rPr>
          <w:rFonts w:hint="eastAsia" w:asciiTheme="majorEastAsia" w:hAnsiTheme="majorEastAsia" w:eastAsiaTheme="majorEastAsia"/>
          <w:bCs/>
          <w:sz w:val="24"/>
          <w:szCs w:val="24"/>
        </w:rPr>
        <w:t>网络安全等级保护</w:t>
      </w:r>
      <w:r>
        <w:rPr>
          <w:rFonts w:hint="eastAsia" w:cs="仿宋" w:asciiTheme="majorEastAsia" w:hAnsiTheme="majorEastAsia" w:eastAsiaTheme="majorEastAsia"/>
          <w:sz w:val="24"/>
          <w:szCs w:val="24"/>
        </w:rPr>
        <w:t>测评要求的测评报告；</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B．对上述系统不符合</w:t>
      </w:r>
      <w:r>
        <w:rPr>
          <w:rFonts w:hint="eastAsia" w:asciiTheme="majorEastAsia" w:hAnsiTheme="majorEastAsia" w:eastAsiaTheme="majorEastAsia"/>
          <w:bCs/>
          <w:sz w:val="24"/>
          <w:szCs w:val="24"/>
        </w:rPr>
        <w:t>网络安全等级保护</w:t>
      </w:r>
      <w:r>
        <w:rPr>
          <w:rFonts w:hint="eastAsia" w:cs="仿宋" w:asciiTheme="majorEastAsia" w:hAnsiTheme="majorEastAsia" w:eastAsiaTheme="majorEastAsia"/>
          <w:sz w:val="24"/>
          <w:szCs w:val="24"/>
        </w:rPr>
        <w:t>有关管理规范和技术标准的，提出可行性整改方案，提供相应的安全整改建议书。</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2、质量要求：</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A．等级测评及服务原则：符合性原则、标准性原则、规范性原则、可控性原则、整体性原则。</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B．</w:t>
      </w:r>
      <w:r>
        <w:rPr>
          <w:rFonts w:hint="eastAsia" w:asciiTheme="majorEastAsia" w:hAnsiTheme="majorEastAsia" w:eastAsiaTheme="majorEastAsia"/>
          <w:bCs/>
          <w:sz w:val="24"/>
          <w:szCs w:val="24"/>
        </w:rPr>
        <w:t>网络安全等级保护</w:t>
      </w:r>
      <w:r>
        <w:rPr>
          <w:rFonts w:hint="eastAsia" w:cs="仿宋" w:asciiTheme="majorEastAsia" w:hAnsiTheme="majorEastAsia" w:eastAsiaTheme="majorEastAsia"/>
          <w:sz w:val="24"/>
          <w:szCs w:val="24"/>
        </w:rPr>
        <w:t>定级及测评服务依据：</w:t>
      </w:r>
    </w:p>
    <w:p>
      <w:pPr>
        <w:spacing w:line="360" w:lineRule="auto"/>
        <w:ind w:firstLine="480" w:firstLineChars="200"/>
        <w:rPr>
          <w:rFonts w:cs="仿宋" w:asciiTheme="majorEastAsia" w:hAnsiTheme="majorEastAsia" w:eastAsiaTheme="majorEastAsia"/>
          <w:sz w:val="24"/>
          <w:szCs w:val="24"/>
        </w:rPr>
      </w:pPr>
      <w:r>
        <w:rPr>
          <w:rFonts w:cs="仿宋" w:asciiTheme="majorEastAsia" w:hAnsiTheme="majorEastAsia" w:eastAsiaTheme="majorEastAsia"/>
          <w:sz w:val="24"/>
          <w:szCs w:val="24"/>
        </w:rPr>
        <w:t>《</w:t>
      </w:r>
      <w:r>
        <w:rPr>
          <w:rFonts w:hint="eastAsia" w:cs="仿宋" w:asciiTheme="majorEastAsia" w:hAnsiTheme="majorEastAsia" w:eastAsiaTheme="majorEastAsia"/>
          <w:sz w:val="24"/>
          <w:szCs w:val="24"/>
        </w:rPr>
        <w:t>中华人民共和国网络安全法</w:t>
      </w:r>
      <w:r>
        <w:rPr>
          <w:rFonts w:cs="仿宋" w:asciiTheme="majorEastAsia" w:hAnsiTheme="majorEastAsia" w:eastAsiaTheme="majorEastAsia"/>
          <w:sz w:val="24"/>
          <w:szCs w:val="24"/>
        </w:rPr>
        <w:t>》</w:t>
      </w:r>
    </w:p>
    <w:p>
      <w:pPr>
        <w:spacing w:line="360" w:lineRule="auto"/>
        <w:ind w:firstLine="480" w:firstLineChars="200"/>
        <w:rPr>
          <w:rFonts w:asciiTheme="majorEastAsia" w:hAnsiTheme="majorEastAsia" w:eastAsiaTheme="majorEastAsia"/>
          <w:bCs/>
          <w:sz w:val="24"/>
          <w:szCs w:val="24"/>
        </w:rPr>
      </w:pPr>
      <w:r>
        <w:rPr>
          <w:rFonts w:hint="eastAsia" w:asciiTheme="majorEastAsia" w:hAnsiTheme="majorEastAsia" w:eastAsiaTheme="majorEastAsia"/>
          <w:bCs/>
          <w:sz w:val="24"/>
          <w:szCs w:val="24"/>
        </w:rPr>
        <w:t>《GB/T22239-2019信息安全技术 网络安全等级保护基本要求》，</w:t>
      </w:r>
    </w:p>
    <w:p>
      <w:pPr>
        <w:spacing w:line="360" w:lineRule="auto"/>
        <w:ind w:firstLine="480" w:firstLineChars="200"/>
        <w:rPr>
          <w:rFonts w:asciiTheme="majorEastAsia" w:hAnsiTheme="majorEastAsia" w:eastAsiaTheme="majorEastAsia"/>
          <w:bCs/>
          <w:sz w:val="24"/>
          <w:szCs w:val="24"/>
        </w:rPr>
      </w:pPr>
      <w:r>
        <w:rPr>
          <w:rFonts w:hint="eastAsia" w:asciiTheme="majorEastAsia" w:hAnsiTheme="majorEastAsia" w:eastAsiaTheme="majorEastAsia"/>
          <w:bCs/>
          <w:sz w:val="24"/>
          <w:szCs w:val="24"/>
        </w:rPr>
        <w:t>《GB/T28448-2019 信息安全技术 网络安全等级保护测评要求》，</w:t>
      </w:r>
    </w:p>
    <w:p>
      <w:pPr>
        <w:spacing w:line="360" w:lineRule="auto"/>
        <w:ind w:firstLine="480" w:firstLineChars="200"/>
        <w:rPr>
          <w:rFonts w:asciiTheme="majorEastAsia" w:hAnsiTheme="majorEastAsia" w:eastAsiaTheme="majorEastAsia"/>
          <w:bCs/>
          <w:sz w:val="24"/>
          <w:szCs w:val="24"/>
        </w:rPr>
      </w:pPr>
      <w:r>
        <w:rPr>
          <w:rFonts w:hint="eastAsia" w:asciiTheme="majorEastAsia" w:hAnsiTheme="majorEastAsia" w:eastAsiaTheme="majorEastAsia"/>
          <w:bCs/>
          <w:sz w:val="24"/>
          <w:szCs w:val="24"/>
        </w:rPr>
        <w:t>《GB/T 28449-2018 信息安全技术 网络安全等级保护测评过程指南》，</w:t>
      </w:r>
    </w:p>
    <w:p>
      <w:pPr>
        <w:spacing w:line="360" w:lineRule="auto"/>
        <w:ind w:firstLine="480" w:firstLineChars="200"/>
        <w:rPr>
          <w:rFonts w:asciiTheme="majorEastAsia" w:hAnsiTheme="majorEastAsia" w:eastAsiaTheme="majorEastAsia"/>
          <w:bCs/>
          <w:sz w:val="24"/>
          <w:szCs w:val="24"/>
        </w:rPr>
      </w:pPr>
      <w:r>
        <w:rPr>
          <w:rFonts w:hint="eastAsia" w:asciiTheme="majorEastAsia" w:hAnsiTheme="majorEastAsia" w:eastAsiaTheme="majorEastAsia"/>
          <w:bCs/>
          <w:sz w:val="24"/>
          <w:szCs w:val="24"/>
        </w:rPr>
        <w:t>《GB/T 25058-2019 信息安全技术 网络安全等级保护实施指南》。</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3、网络安全等级保护测评内容：</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A．安全技术测评：包括安全物理环境、安全区域边界、安全通信网络、安全计算环境和安全管理中心五个方面的安全测评；</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B．安全管理测评：安全管理机构、安全管理制度、安全管理人员、安全建设管理和安全运维管理五个方面的安全控制测评</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4、提供整改咨询服务，根据所测系统的最终测评报告，对系统现状提出安全整改建议并协助整改工作，以期达到整改目的。</w:t>
      </w:r>
    </w:p>
    <w:p>
      <w:pPr>
        <w:keepNext/>
        <w:keepLines/>
        <w:spacing w:line="360" w:lineRule="auto"/>
        <w:outlineLvl w:val="1"/>
        <w:rPr>
          <w:rFonts w:cs="仿宋" w:asciiTheme="majorEastAsia" w:hAnsiTheme="majorEastAsia" w:eastAsiaTheme="majorEastAsia"/>
          <w:bCs/>
          <w:sz w:val="24"/>
          <w:szCs w:val="24"/>
        </w:rPr>
      </w:pPr>
      <w:r>
        <w:rPr>
          <w:rFonts w:hint="eastAsia" w:cs="仿宋" w:asciiTheme="majorEastAsia" w:hAnsiTheme="majorEastAsia" w:eastAsiaTheme="majorEastAsia"/>
          <w:b/>
          <w:bCs/>
          <w:sz w:val="24"/>
          <w:szCs w:val="24"/>
        </w:rPr>
        <w:t>三、测评原则：</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1、客观性和公正性原则：</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测评人员应当没有偏见，在最小主观判断情形下，按照评估双方相互认可的评估方案，基于明确定义的测评方式和解释，实施评估活动。</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2、可重复性和可再现性原则：</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3、连续性原则：</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4、扩展性原则：</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在评估过程结束后，信息安全测评过程要保持扩展性，从扩展的属性上进一步加强测评结束后采购方的安全管理有效性和可用性。</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5、保密原则：</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在测评过程中，需严格遵循保密原则，双方签订保密协议，对服务过程中涉及到的任何用户信息未经允许不向其他任何第三方泄漏，以及不得利用这些信息损害采购方利益。</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6、互动原则：</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在整个测评过程中，强调采购方的互动参与，每个阶段都能够及时根据采购方的要求和实际情况对测评的内容、方式做出相关调整，进而更好的进行风险评估工作。</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7、最小影响原则：</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测评工作应该尽可能小地影响系统和网络的正常运行，不能对业务的正常运行产生明显的影响（包括系统性能明显下降、网络阻塞、服务中断等），如无法避免，则应做出说明。</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8、规范性原则：</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网络安全等级保护测评服务的实施必须由专业的测评服务人员依照规范的操作流程进行，对操作过程和结果要有相应的记录，并提供完整的服务报告。</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9、质量保障原则：</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在整个测评过程中，须特别重视项目质量管理。项目的实施将严格按照项目实施方案和流程进行，并由项目协调小组从中监督，控制项目的进度和质量。</w:t>
      </w:r>
    </w:p>
    <w:p>
      <w:pPr>
        <w:keepNext/>
        <w:keepLines/>
        <w:spacing w:line="360" w:lineRule="auto"/>
        <w:outlineLvl w:val="1"/>
        <w:rPr>
          <w:rFonts w:cs="仿宋" w:asciiTheme="majorEastAsia" w:hAnsiTheme="majorEastAsia" w:eastAsiaTheme="majorEastAsia"/>
          <w:bCs/>
          <w:sz w:val="24"/>
          <w:szCs w:val="24"/>
        </w:rPr>
      </w:pPr>
      <w:r>
        <w:rPr>
          <w:rFonts w:hint="eastAsia" w:cs="仿宋" w:asciiTheme="majorEastAsia" w:hAnsiTheme="majorEastAsia" w:eastAsiaTheme="majorEastAsia"/>
          <w:b/>
          <w:bCs/>
          <w:sz w:val="24"/>
          <w:szCs w:val="24"/>
        </w:rPr>
        <w:t>四、测评人员和时限要求：</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1、测评人员要求：本次测评至少需要1名高级测评师，1名中级测评师，2名初级测评师。本次等保测评项目不得转包或者分包，所有测评师必须是中标公司自己的正式员工,所有测评师必须持证上岗，响应文件中应提供项目组成员名单、社保主管部门出具的响应单位为其缴纳社保的证明、相关证书复印件等，未经采购方同意，项目组成员不得更改。</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2、测评时间要求：按照被测单位要求，合同签订完毕一周内启动测评工作。</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3、测评期限要求：签订合同后60天内完成网络安全等级保护测评，同时出具盖章报告，测评发现风险情况，需配合甲方完成整改，并出具差异化报告，并完成备案。</w:t>
      </w:r>
      <w:bookmarkStart w:id="0" w:name="_GoBack"/>
      <w:bookmarkEnd w:id="0"/>
    </w:p>
    <w:p>
      <w:pPr>
        <w:keepNext/>
        <w:keepLines/>
        <w:spacing w:line="360" w:lineRule="auto"/>
        <w:outlineLvl w:val="1"/>
        <w:rPr>
          <w:rFonts w:cs="楷体_GB2312" w:asciiTheme="majorEastAsia" w:hAnsiTheme="majorEastAsia" w:eastAsiaTheme="majorEastAsia"/>
          <w:kern w:val="0"/>
          <w:sz w:val="24"/>
          <w:szCs w:val="24"/>
        </w:rPr>
      </w:pPr>
      <w:r>
        <w:rPr>
          <w:rFonts w:hint="eastAsia" w:cs="楷体_GB2312" w:asciiTheme="majorEastAsia" w:hAnsiTheme="majorEastAsia" w:eastAsiaTheme="majorEastAsia"/>
          <w:b/>
          <w:bCs/>
          <w:kern w:val="0"/>
          <w:sz w:val="24"/>
          <w:szCs w:val="24"/>
        </w:rPr>
        <w:t>五、服务地点</w:t>
      </w:r>
    </w:p>
    <w:p>
      <w:pPr>
        <w:spacing w:line="360" w:lineRule="auto"/>
        <w:ind w:firstLine="480" w:firstLineChars="200"/>
        <w:rPr>
          <w:rFonts w:asciiTheme="majorEastAsia" w:hAnsiTheme="majorEastAsia" w:eastAsiaTheme="majorEastAsia"/>
          <w:sz w:val="24"/>
          <w:szCs w:val="24"/>
        </w:rPr>
      </w:pPr>
      <w:r>
        <w:rPr>
          <w:rFonts w:hint="eastAsia" w:cs="宋体" w:asciiTheme="majorEastAsia" w:hAnsiTheme="majorEastAsia" w:eastAsiaTheme="majorEastAsia"/>
          <w:bCs/>
          <w:kern w:val="0"/>
          <w:sz w:val="24"/>
          <w:szCs w:val="24"/>
        </w:rPr>
        <w:t>采购方</w:t>
      </w:r>
      <w:r>
        <w:rPr>
          <w:rFonts w:hint="eastAsia" w:asciiTheme="majorEastAsia" w:hAnsiTheme="majorEastAsia" w:eastAsiaTheme="majorEastAsia"/>
          <w:kern w:val="0"/>
          <w:sz w:val="24"/>
          <w:szCs w:val="24"/>
        </w:rPr>
        <w:t>指定地点。</w:t>
      </w:r>
    </w:p>
    <w:p>
      <w:pPr>
        <w:keepNext/>
        <w:keepLines/>
        <w:spacing w:line="360" w:lineRule="auto"/>
        <w:outlineLvl w:val="1"/>
        <w:rPr>
          <w:rFonts w:cs="楷体_GB2312" w:asciiTheme="majorEastAsia" w:hAnsiTheme="majorEastAsia" w:eastAsiaTheme="majorEastAsia"/>
          <w:kern w:val="0"/>
          <w:sz w:val="24"/>
          <w:szCs w:val="24"/>
        </w:rPr>
      </w:pPr>
      <w:r>
        <w:rPr>
          <w:rFonts w:hint="eastAsia" w:cs="楷体_GB2312" w:asciiTheme="majorEastAsia" w:hAnsiTheme="majorEastAsia" w:eastAsiaTheme="majorEastAsia"/>
          <w:b/>
          <w:bCs/>
          <w:kern w:val="0"/>
          <w:sz w:val="24"/>
          <w:szCs w:val="24"/>
        </w:rPr>
        <w:t>六、付款时间和条件</w:t>
      </w:r>
    </w:p>
    <w:p>
      <w:pPr>
        <w:spacing w:line="360" w:lineRule="auto"/>
        <w:ind w:firstLine="480" w:firstLineChars="200"/>
        <w:rPr>
          <w:rFonts w:asciiTheme="majorEastAsia" w:hAnsiTheme="majorEastAsia" w:eastAsiaTheme="majorEastAsia"/>
          <w:kern w:val="0"/>
          <w:sz w:val="24"/>
          <w:szCs w:val="24"/>
        </w:rPr>
      </w:pPr>
      <w:r>
        <w:rPr>
          <w:rFonts w:hint="eastAsia" w:ascii="宋体" w:hAnsi="宋体" w:cs="宋体"/>
          <w:bCs/>
          <w:sz w:val="24"/>
          <w:szCs w:val="24"/>
        </w:rPr>
        <w:t>提交测评报告后,采购人于收到发票后15日内一次性支付合同金额。</w:t>
      </w:r>
    </w:p>
    <w:p>
      <w:pPr>
        <w:jc w:val="both"/>
        <w:rPr>
          <w:rFonts w:hint="default" w:ascii="仿宋_GB2312" w:hAnsi="仿宋_GB2312" w:eastAsia="仿宋_GB2312" w:cs="仿宋_GB2312"/>
          <w:b/>
          <w:bCs/>
          <w:sz w:val="36"/>
          <w:szCs w:val="36"/>
          <w:lang w:val="en-US" w:eastAsia="zh-CN"/>
        </w:rPr>
      </w:pPr>
    </w:p>
    <w:sectPr>
      <w:footerReference r:id="rId3" w:type="default"/>
      <w:pgSz w:w="11906" w:h="16838"/>
      <w:pgMar w:top="2098" w:right="1474" w:bottom="181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2579370</wp:posOffset>
              </wp:positionH>
              <wp:positionV relativeFrom="paragraph">
                <wp:posOffset>-342900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203.1pt;margin-top:-27pt;height:144pt;width:144pt;mso-position-horizontal-relative:margin;mso-wrap-style:none;z-index:251659264;mso-width-relative:page;mso-height-relative:page;" filled="f" stroked="f" coordsize="21600,21600" o:gfxdata="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a5MInWAAAACwEAAA8AAAAAAAAAAQAgAAAAIgAAAGRycy9kb3du&#10;cmV2LnhtbFBLAQIUABQAAAAIAIdO4kDkov7PyAEAAJkDAAAOAAAAAAAAAAEAIAAAACUBAABkcnMv&#10;ZTJvRG9jLnhtbFBLBQYAAAAABgAGAFkBAABfBQAAAAA=&#10;">
              <v:fill on="f" focussize="0,0"/>
              <v:stroke on="f"/>
              <v:imagedata o:title=""/>
              <o:lock v:ext="edit" aspectratio="f"/>
              <v:textbox inset="0mm,0mm,0mm,0mm" style="mso-fit-shape-to-text:t;">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E3747"/>
    <w:multiLevelType w:val="multilevel"/>
    <w:tmpl w:val="135E374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D6FB0"/>
    <w:rsid w:val="008809AB"/>
    <w:rsid w:val="0BFD6FB0"/>
    <w:rsid w:val="0EFA12D9"/>
    <w:rsid w:val="13A52809"/>
    <w:rsid w:val="14887196"/>
    <w:rsid w:val="14B31B83"/>
    <w:rsid w:val="28785A48"/>
    <w:rsid w:val="2D62677B"/>
    <w:rsid w:val="2E4E7C56"/>
    <w:rsid w:val="2F1540CB"/>
    <w:rsid w:val="2F6F6C20"/>
    <w:rsid w:val="30E90746"/>
    <w:rsid w:val="3A7D777D"/>
    <w:rsid w:val="3FF44022"/>
    <w:rsid w:val="45B33484"/>
    <w:rsid w:val="51860803"/>
    <w:rsid w:val="5C690334"/>
    <w:rsid w:val="5CC1674F"/>
    <w:rsid w:val="5E8524E2"/>
    <w:rsid w:val="5F451855"/>
    <w:rsid w:val="6137446E"/>
    <w:rsid w:val="6E767963"/>
    <w:rsid w:val="7B98200C"/>
    <w:rsid w:val="7C7C0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2024-02-06T09:10:00Z</dcterms:created>
  <dc:creator>wgxj</dc:creator>
  <cp:lastModifiedBy>wgxj</cp:lastModifiedBy>
  <dcterms:modified xsi:type="dcterms:W3CDTF">2024-05-20T06:37:26Z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C45D1F13A11E4464B1F0EC58D735F30F</vt:lpwstr>
  </property>
</Properties>
</file>