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jc w:val="center"/>
        <w:rPr>
          <w:rStyle w:val="39"/>
          <w:rFonts w:hint="eastAsia" w:ascii="宋体" w:hAnsi="宋体" w:eastAsia="宋体" w:cs="宋体"/>
          <w:b/>
          <w:color w:val="auto"/>
          <w:sz w:val="44"/>
          <w:szCs w:val="44"/>
          <w:highlight w:val="none"/>
        </w:rPr>
      </w:pPr>
    </w:p>
    <w:p>
      <w:pPr>
        <w:tabs>
          <w:tab w:val="center" w:pos="5023"/>
          <w:tab w:val="left" w:pos="8652"/>
        </w:tabs>
        <w:snapToGrid w:val="0"/>
        <w:spacing w:before="240" w:line="500" w:lineRule="exact"/>
        <w:jc w:val="center"/>
        <w:rPr>
          <w:rStyle w:val="39"/>
          <w:rFonts w:hint="eastAsia" w:ascii="宋体" w:hAnsi="宋体" w:eastAsia="宋体" w:cs="宋体"/>
          <w:b/>
          <w:color w:val="auto"/>
          <w:sz w:val="48"/>
          <w:szCs w:val="48"/>
          <w:highlight w:val="none"/>
        </w:rPr>
      </w:pPr>
    </w:p>
    <w:p>
      <w:pPr>
        <w:pStyle w:val="92"/>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baseline"/>
        <w:rPr>
          <w:rStyle w:val="39"/>
          <w:rFonts w:hint="eastAsia" w:ascii="宋体" w:hAnsi="宋体" w:eastAsia="宋体" w:cs="宋体"/>
          <w:b/>
          <w:bCs w:val="0"/>
          <w:color w:val="auto"/>
          <w:sz w:val="40"/>
          <w:szCs w:val="40"/>
          <w:highlight w:val="none"/>
          <w:u w:val="none" w:color="auto"/>
          <w:lang w:eastAsia="zh-CN"/>
        </w:rPr>
      </w:pPr>
      <w:r>
        <w:rPr>
          <w:rStyle w:val="39"/>
          <w:rFonts w:hint="eastAsia" w:ascii="宋体" w:hAnsi="宋体" w:eastAsia="宋体" w:cs="宋体"/>
          <w:b/>
          <w:bCs w:val="0"/>
          <w:color w:val="auto"/>
          <w:sz w:val="40"/>
          <w:szCs w:val="40"/>
          <w:highlight w:val="none"/>
          <w:u w:val="none" w:color="auto"/>
          <w:lang w:eastAsia="zh-CN"/>
        </w:rPr>
        <w:t>南通博物苑多语种团队讲解器采购项目</w:t>
      </w:r>
    </w:p>
    <w:p>
      <w:pPr>
        <w:pStyle w:val="92"/>
        <w:snapToGrid w:val="0"/>
        <w:ind w:firstLine="520"/>
        <w:rPr>
          <w:rStyle w:val="39"/>
          <w:rFonts w:hint="eastAsia" w:ascii="宋体" w:hAnsi="宋体" w:eastAsia="宋体" w:cs="宋体"/>
          <w:color w:val="auto"/>
          <w:sz w:val="26"/>
          <w:highlight w:val="none"/>
        </w:rPr>
      </w:pPr>
    </w:p>
    <w:p>
      <w:pPr>
        <w:pStyle w:val="92"/>
        <w:snapToGrid w:val="0"/>
        <w:ind w:firstLine="520"/>
        <w:rPr>
          <w:rStyle w:val="39"/>
          <w:rFonts w:hint="eastAsia" w:ascii="宋体" w:hAnsi="宋体" w:eastAsia="宋体" w:cs="宋体"/>
          <w:color w:val="auto"/>
          <w:sz w:val="26"/>
          <w:highlight w:val="none"/>
        </w:rPr>
      </w:pPr>
    </w:p>
    <w:p>
      <w:pPr>
        <w:pStyle w:val="92"/>
        <w:snapToGrid w:val="0"/>
        <w:ind w:firstLine="520"/>
        <w:rPr>
          <w:rStyle w:val="39"/>
          <w:rFonts w:hint="eastAsia" w:ascii="宋体" w:hAnsi="宋体" w:eastAsia="宋体" w:cs="宋体"/>
          <w:color w:val="auto"/>
          <w:sz w:val="26"/>
          <w:highlight w:val="none"/>
        </w:rPr>
      </w:pPr>
    </w:p>
    <w:p>
      <w:pPr>
        <w:snapToGrid w:val="0"/>
        <w:spacing w:line="1400" w:lineRule="exact"/>
        <w:jc w:val="center"/>
        <w:rPr>
          <w:rStyle w:val="39"/>
          <w:rFonts w:hint="eastAsia" w:ascii="宋体" w:hAnsi="宋体" w:eastAsia="宋体" w:cs="宋体"/>
          <w:b/>
          <w:color w:val="auto"/>
          <w:sz w:val="72"/>
          <w:szCs w:val="72"/>
          <w:highlight w:val="none"/>
        </w:rPr>
      </w:pPr>
      <w:r>
        <w:rPr>
          <w:rStyle w:val="39"/>
          <w:rFonts w:hint="eastAsia" w:ascii="宋体" w:hAnsi="宋体" w:eastAsia="宋体" w:cs="宋体"/>
          <w:b/>
          <w:color w:val="auto"/>
          <w:sz w:val="72"/>
          <w:szCs w:val="72"/>
          <w:highlight w:val="none"/>
        </w:rPr>
        <w:t>公开招标文件</w:t>
      </w:r>
    </w:p>
    <w:p>
      <w:pPr>
        <w:snapToGrid w:val="0"/>
        <w:spacing w:line="640" w:lineRule="exact"/>
        <w:jc w:val="center"/>
        <w:rPr>
          <w:rStyle w:val="39"/>
          <w:rFonts w:hint="eastAsia" w:ascii="宋体" w:hAnsi="宋体" w:eastAsia="宋体" w:cs="宋体"/>
          <w:b/>
          <w:color w:val="auto"/>
          <w:sz w:val="44"/>
          <w:szCs w:val="44"/>
          <w:highlight w:val="none"/>
        </w:rPr>
      </w:pPr>
      <w:r>
        <w:rPr>
          <w:rStyle w:val="39"/>
          <w:rFonts w:hint="eastAsia" w:ascii="宋体" w:hAnsi="宋体" w:eastAsia="宋体" w:cs="宋体"/>
          <w:b/>
          <w:color w:val="auto"/>
          <w:sz w:val="44"/>
          <w:szCs w:val="44"/>
          <w:highlight w:val="none"/>
        </w:rPr>
        <w:t>（资格后审）</w:t>
      </w:r>
    </w:p>
    <w:p>
      <w:pPr>
        <w:pStyle w:val="92"/>
        <w:snapToGrid w:val="0"/>
        <w:ind w:firstLine="520"/>
        <w:rPr>
          <w:rStyle w:val="39"/>
          <w:rFonts w:hint="eastAsia" w:ascii="宋体" w:hAnsi="宋体" w:eastAsia="宋体" w:cs="宋体"/>
          <w:color w:val="auto"/>
          <w:sz w:val="26"/>
          <w:highlight w:val="none"/>
        </w:rPr>
      </w:pPr>
    </w:p>
    <w:p>
      <w:pPr>
        <w:snapToGrid w:val="0"/>
        <w:jc w:val="center"/>
        <w:rPr>
          <w:rStyle w:val="39"/>
          <w:rFonts w:hint="eastAsia" w:ascii="宋体" w:hAnsi="宋体" w:eastAsia="宋体" w:cs="宋体"/>
          <w:b/>
          <w:color w:val="auto"/>
          <w:sz w:val="36"/>
          <w:highlight w:val="none"/>
        </w:rPr>
      </w:pPr>
    </w:p>
    <w:p>
      <w:pPr>
        <w:pStyle w:val="92"/>
        <w:snapToGrid w:val="0"/>
        <w:ind w:firstLine="520"/>
        <w:rPr>
          <w:rStyle w:val="39"/>
          <w:rFonts w:hint="eastAsia" w:ascii="宋体" w:hAnsi="宋体" w:eastAsia="宋体" w:cs="宋体"/>
          <w:color w:val="auto"/>
          <w:sz w:val="26"/>
          <w:highlight w:val="none"/>
        </w:rPr>
      </w:pPr>
    </w:p>
    <w:p>
      <w:pPr>
        <w:snapToGrid w:val="0"/>
        <w:rPr>
          <w:rStyle w:val="39"/>
          <w:rFonts w:hint="eastAsia" w:ascii="宋体" w:hAnsi="宋体" w:eastAsia="宋体" w:cs="宋体"/>
          <w:b/>
          <w:color w:val="auto"/>
          <w:sz w:val="36"/>
          <w:highlight w:val="none"/>
        </w:rPr>
      </w:pPr>
    </w:p>
    <w:p>
      <w:pPr>
        <w:pStyle w:val="75"/>
        <w:snapToGrid w:val="0"/>
        <w:rPr>
          <w:rStyle w:val="39"/>
          <w:rFonts w:hint="eastAsia" w:ascii="宋体" w:hAnsi="宋体" w:eastAsia="宋体" w:cs="宋体"/>
          <w:color w:val="auto"/>
          <w:highlight w:val="none"/>
        </w:rPr>
      </w:pPr>
    </w:p>
    <w:p>
      <w:pPr>
        <w:snapToGrid w:val="0"/>
        <w:rPr>
          <w:rStyle w:val="39"/>
          <w:rFonts w:hint="eastAsia" w:ascii="宋体" w:hAnsi="宋体" w:eastAsia="宋体" w:cs="宋体"/>
          <w:b/>
          <w:color w:val="auto"/>
          <w:sz w:val="30"/>
          <w:szCs w:val="30"/>
          <w:highlight w:val="none"/>
        </w:rPr>
      </w:pPr>
      <w:r>
        <w:rPr>
          <w:rStyle w:val="39"/>
          <w:rFonts w:hint="eastAsia" w:ascii="宋体" w:hAnsi="宋体" w:eastAsia="宋体" w:cs="宋体"/>
          <w:b/>
          <w:color w:val="auto"/>
          <w:sz w:val="30"/>
          <w:szCs w:val="30"/>
          <w:highlight w:val="none"/>
        </w:rPr>
        <w:t xml:space="preserve">       </w:t>
      </w:r>
    </w:p>
    <w:p>
      <w:pPr>
        <w:pStyle w:val="54"/>
        <w:snapToGrid w:val="0"/>
        <w:spacing w:line="360" w:lineRule="auto"/>
        <w:jc w:val="center"/>
        <w:rPr>
          <w:rStyle w:val="39"/>
          <w:rFonts w:hint="eastAsia" w:ascii="宋体" w:hAnsi="宋体" w:eastAsia="宋体" w:cs="宋体"/>
          <w:b/>
          <w:color w:val="auto"/>
          <w:szCs w:val="28"/>
          <w:highlight w:val="none"/>
          <w:lang w:eastAsia="zh-CN"/>
        </w:rPr>
      </w:pPr>
      <w:r>
        <w:rPr>
          <w:rStyle w:val="39"/>
          <w:rFonts w:hint="eastAsia" w:ascii="宋体" w:hAnsi="宋体" w:eastAsia="宋体" w:cs="宋体"/>
          <w:b/>
          <w:color w:val="auto"/>
          <w:szCs w:val="28"/>
          <w:highlight w:val="none"/>
        </w:rPr>
        <w:t>采 购 人：</w:t>
      </w:r>
      <w:r>
        <w:rPr>
          <w:rStyle w:val="39"/>
          <w:rFonts w:hint="eastAsia" w:ascii="宋体" w:hAnsi="宋体" w:eastAsia="宋体" w:cs="宋体"/>
          <w:b/>
          <w:color w:val="auto"/>
          <w:szCs w:val="28"/>
          <w:highlight w:val="none"/>
          <w:lang w:eastAsia="zh-CN"/>
        </w:rPr>
        <w:t>南通博物苑</w:t>
      </w:r>
    </w:p>
    <w:p>
      <w:pPr>
        <w:snapToGrid w:val="0"/>
        <w:jc w:val="center"/>
        <w:rPr>
          <w:rStyle w:val="39"/>
          <w:rFonts w:hint="eastAsia" w:ascii="宋体" w:hAnsi="宋体" w:eastAsia="宋体" w:cs="宋体"/>
          <w:b/>
          <w:color w:val="auto"/>
          <w:sz w:val="28"/>
          <w:szCs w:val="28"/>
          <w:highlight w:val="none"/>
        </w:rPr>
      </w:pPr>
      <w:r>
        <w:rPr>
          <w:rStyle w:val="39"/>
          <w:rFonts w:hint="eastAsia" w:ascii="宋体" w:hAnsi="宋体" w:eastAsia="宋体" w:cs="宋体"/>
          <w:b/>
          <w:color w:val="auto"/>
          <w:sz w:val="28"/>
          <w:szCs w:val="28"/>
          <w:highlight w:val="none"/>
        </w:rPr>
        <w:t>代理机构：江苏正扬招标代理有限公司</w:t>
      </w:r>
    </w:p>
    <w:p>
      <w:pPr>
        <w:snapToGrid w:val="0"/>
        <w:jc w:val="center"/>
        <w:rPr>
          <w:rStyle w:val="39"/>
          <w:rFonts w:hint="eastAsia" w:ascii="宋体" w:hAnsi="宋体" w:eastAsia="宋体" w:cs="宋体"/>
          <w:b/>
          <w:color w:val="auto"/>
          <w:sz w:val="28"/>
          <w:szCs w:val="28"/>
          <w:highlight w:val="none"/>
        </w:rPr>
      </w:pPr>
      <w:r>
        <w:rPr>
          <w:rStyle w:val="39"/>
          <w:rFonts w:hint="eastAsia" w:ascii="宋体" w:hAnsi="宋体" w:eastAsia="宋体" w:cs="宋体"/>
          <w:b/>
          <w:color w:val="auto"/>
          <w:sz w:val="28"/>
          <w:szCs w:val="28"/>
          <w:highlight w:val="none"/>
          <w:lang w:eastAsia="zh-CN"/>
        </w:rPr>
        <w:t>二○二五年</w:t>
      </w:r>
      <w:r>
        <w:rPr>
          <w:rStyle w:val="39"/>
          <w:rFonts w:hint="eastAsia" w:ascii="宋体" w:hAnsi="宋体" w:eastAsia="宋体" w:cs="宋体"/>
          <w:b/>
          <w:color w:val="auto"/>
          <w:sz w:val="28"/>
          <w:szCs w:val="28"/>
          <w:highlight w:val="none"/>
          <w:lang w:val="en-US" w:eastAsia="zh-CN"/>
        </w:rPr>
        <w:t>六</w:t>
      </w:r>
      <w:r>
        <w:rPr>
          <w:rStyle w:val="39"/>
          <w:rFonts w:hint="eastAsia" w:ascii="宋体" w:hAnsi="宋体" w:eastAsia="宋体" w:cs="宋体"/>
          <w:b/>
          <w:color w:val="auto"/>
          <w:sz w:val="28"/>
          <w:szCs w:val="28"/>
          <w:highlight w:val="none"/>
        </w:rPr>
        <w:t>月</w:t>
      </w:r>
    </w:p>
    <w:p>
      <w:pPr>
        <w:snapToGrid w:val="0"/>
        <w:ind w:firstLine="1124" w:firstLineChars="350"/>
        <w:rPr>
          <w:rStyle w:val="39"/>
          <w:rFonts w:hint="eastAsia" w:ascii="宋体" w:hAnsi="宋体" w:eastAsia="宋体" w:cs="宋体"/>
          <w:b/>
          <w:color w:val="auto"/>
          <w:sz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021" w:right="1134" w:bottom="1021" w:left="1134" w:header="851" w:footer="992" w:gutter="0"/>
          <w:cols w:space="720" w:num="1"/>
          <w:titlePg/>
          <w:docGrid w:linePitch="380" w:charSpace="-5735"/>
        </w:sectPr>
      </w:pPr>
    </w:p>
    <w:p>
      <w:pPr>
        <w:snapToGrid w:val="0"/>
        <w:jc w:val="center"/>
        <w:rPr>
          <w:rStyle w:val="39"/>
          <w:rFonts w:hint="eastAsia" w:ascii="宋体" w:hAnsi="宋体" w:eastAsia="宋体" w:cs="宋体"/>
          <w:b/>
          <w:bCs/>
          <w:color w:val="auto"/>
          <w:sz w:val="48"/>
          <w:highlight w:val="none"/>
        </w:rPr>
      </w:pPr>
      <w:r>
        <w:rPr>
          <w:rStyle w:val="39"/>
          <w:rFonts w:hint="eastAsia" w:ascii="宋体" w:hAnsi="宋体" w:eastAsia="宋体" w:cs="宋体"/>
          <w:b/>
          <w:color w:val="auto"/>
          <w:sz w:val="44"/>
          <w:szCs w:val="44"/>
          <w:highlight w:val="none"/>
        </w:rPr>
        <w:t>招标文件备案表</w:t>
      </w:r>
    </w:p>
    <w:tbl>
      <w:tblPr>
        <w:tblStyle w:val="20"/>
        <w:tblW w:w="8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63" w:hRule="atLeast"/>
          <w:jc w:val="center"/>
        </w:trPr>
        <w:tc>
          <w:tcPr>
            <w:tcW w:w="8575" w:type="dxa"/>
            <w:tcBorders>
              <w:top w:val="single" w:color="000000" w:sz="4" w:space="0"/>
              <w:left w:val="single" w:color="000000" w:sz="4" w:space="0"/>
              <w:bottom w:val="single" w:color="000000" w:sz="4" w:space="0"/>
              <w:right w:val="single" w:color="000000" w:sz="4" w:space="0"/>
            </w:tcBorders>
          </w:tcPr>
          <w:p>
            <w:pPr>
              <w:snapToGrid w:val="0"/>
              <w:jc w:val="center"/>
              <w:rPr>
                <w:rStyle w:val="39"/>
                <w:rFonts w:hint="eastAsia" w:ascii="宋体" w:hAnsi="宋体" w:eastAsia="宋体" w:cs="宋体"/>
                <w:color w:val="auto"/>
                <w:sz w:val="24"/>
                <w:szCs w:val="24"/>
                <w:highlight w:val="none"/>
              </w:rPr>
            </w:pPr>
          </w:p>
          <w:p>
            <w:pPr>
              <w:pStyle w:val="92"/>
              <w:snapToGrid w:val="0"/>
              <w:ind w:firstLine="520"/>
              <w:rPr>
                <w:rStyle w:val="39"/>
                <w:rFonts w:hint="eastAsia" w:ascii="宋体" w:hAnsi="宋体" w:eastAsia="宋体" w:cs="宋体"/>
                <w:color w:val="auto"/>
                <w:sz w:val="26"/>
                <w:szCs w:val="24"/>
                <w:highlight w:val="none"/>
              </w:rPr>
            </w:pPr>
          </w:p>
          <w:p>
            <w:pPr>
              <w:pStyle w:val="92"/>
              <w:snapToGrid w:val="0"/>
              <w:ind w:firstLine="520"/>
              <w:rPr>
                <w:rStyle w:val="39"/>
                <w:rFonts w:hint="eastAsia" w:ascii="宋体" w:hAnsi="宋体" w:eastAsia="宋体" w:cs="宋体"/>
                <w:color w:val="auto"/>
                <w:sz w:val="26"/>
                <w:szCs w:val="24"/>
                <w:highlight w:val="none"/>
              </w:rPr>
            </w:pPr>
          </w:p>
          <w:p>
            <w:pPr>
              <w:pStyle w:val="92"/>
              <w:snapToGrid w:val="0"/>
              <w:ind w:firstLine="520"/>
              <w:rPr>
                <w:rStyle w:val="39"/>
                <w:rFonts w:hint="eastAsia" w:ascii="宋体" w:hAnsi="宋体" w:eastAsia="宋体" w:cs="宋体"/>
                <w:color w:val="auto"/>
                <w:sz w:val="26"/>
                <w:szCs w:val="24"/>
                <w:highlight w:val="none"/>
              </w:rPr>
            </w:pPr>
          </w:p>
          <w:p>
            <w:pPr>
              <w:snapToGrid w:val="0"/>
              <w:ind w:firstLine="3360" w:firstLineChars="1400"/>
              <w:rPr>
                <w:rStyle w:val="39"/>
                <w:rFonts w:hint="eastAsia" w:ascii="宋体" w:hAnsi="宋体" w:eastAsia="宋体" w:cs="宋体"/>
                <w:color w:val="auto"/>
                <w:sz w:val="24"/>
                <w:szCs w:val="24"/>
                <w:highlight w:val="none"/>
              </w:rPr>
            </w:pPr>
          </w:p>
          <w:p>
            <w:pPr>
              <w:snapToGrid w:val="0"/>
              <w:ind w:firstLine="3360" w:firstLineChars="1400"/>
              <w:rPr>
                <w:rStyle w:val="39"/>
                <w:rFonts w:hint="eastAsia" w:ascii="宋体" w:hAnsi="宋体" w:eastAsia="宋体" w:cs="宋体"/>
                <w:color w:val="auto"/>
                <w:sz w:val="24"/>
                <w:szCs w:val="24"/>
                <w:highlight w:val="none"/>
              </w:rPr>
            </w:pPr>
          </w:p>
          <w:p>
            <w:pPr>
              <w:snapToGrid w:val="0"/>
              <w:ind w:firstLine="3360" w:firstLineChars="14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 xml:space="preserve">编制人：李艳梅 </w:t>
            </w:r>
          </w:p>
          <w:p>
            <w:pPr>
              <w:tabs>
                <w:tab w:val="left" w:pos="3492"/>
              </w:tabs>
              <w:snapToGrid w:val="0"/>
              <w:ind w:right="480" w:firstLine="3360" w:firstLineChars="14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日  期：</w:t>
            </w:r>
            <w:r>
              <w:rPr>
                <w:rStyle w:val="39"/>
                <w:rFonts w:hint="eastAsia" w:ascii="宋体" w:hAnsi="宋体" w:eastAsia="宋体" w:cs="宋体"/>
                <w:color w:val="auto"/>
                <w:sz w:val="24"/>
                <w:szCs w:val="24"/>
                <w:highlight w:val="none"/>
                <w:lang w:eastAsia="zh-CN"/>
              </w:rPr>
              <w:t>2025年</w:t>
            </w:r>
            <w:r>
              <w:rPr>
                <w:rStyle w:val="39"/>
                <w:rFonts w:hint="eastAsia" w:ascii="宋体" w:hAnsi="宋体" w:eastAsia="宋体" w:cs="宋体"/>
                <w:color w:val="auto"/>
                <w:sz w:val="24"/>
                <w:szCs w:val="24"/>
                <w:highlight w:val="none"/>
                <w:lang w:val="en-US" w:eastAsia="zh-CN"/>
              </w:rPr>
              <w:t>6</w:t>
            </w:r>
            <w:r>
              <w:rPr>
                <w:rStyle w:val="39"/>
                <w:rFonts w:hint="eastAsia" w:ascii="宋体" w:hAnsi="宋体" w:eastAsia="宋体" w:cs="宋体"/>
                <w:color w:val="auto"/>
                <w:sz w:val="24"/>
                <w:szCs w:val="24"/>
                <w:highlight w:val="none"/>
              </w:rPr>
              <w:t>月</w:t>
            </w:r>
          </w:p>
          <w:p>
            <w:pPr>
              <w:pStyle w:val="92"/>
              <w:snapToGrid w:val="0"/>
              <w:ind w:firstLine="520"/>
              <w:rPr>
                <w:rStyle w:val="39"/>
                <w:rFonts w:hint="eastAsia" w:ascii="宋体" w:hAnsi="宋体" w:eastAsia="宋体" w:cs="宋体"/>
                <w:color w:val="auto"/>
                <w:sz w:val="26"/>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8" w:hRule="atLeast"/>
          <w:jc w:val="center"/>
        </w:trPr>
        <w:tc>
          <w:tcPr>
            <w:tcW w:w="8575" w:type="dxa"/>
            <w:tcBorders>
              <w:top w:val="single" w:color="000000" w:sz="4" w:space="0"/>
              <w:left w:val="single" w:color="000000" w:sz="4" w:space="0"/>
              <w:bottom w:val="single" w:color="000000" w:sz="4" w:space="0"/>
              <w:right w:val="single" w:color="000000" w:sz="4" w:space="0"/>
            </w:tcBorders>
          </w:tcPr>
          <w:p>
            <w:pPr>
              <w:snapToGrid w:val="0"/>
              <w:rPr>
                <w:rStyle w:val="39"/>
                <w:rFonts w:hint="eastAsia" w:ascii="宋体" w:hAnsi="宋体" w:eastAsia="宋体" w:cs="宋体"/>
                <w:color w:val="auto"/>
                <w:sz w:val="24"/>
                <w:szCs w:val="24"/>
                <w:highlight w:val="none"/>
              </w:rPr>
            </w:pPr>
          </w:p>
          <w:p>
            <w:pPr>
              <w:pStyle w:val="92"/>
              <w:snapToGrid w:val="0"/>
              <w:ind w:firstLine="520"/>
              <w:rPr>
                <w:rStyle w:val="39"/>
                <w:rFonts w:hint="eastAsia" w:ascii="宋体" w:hAnsi="宋体" w:eastAsia="宋体" w:cs="宋体"/>
                <w:color w:val="auto"/>
                <w:sz w:val="26"/>
                <w:highlight w:val="none"/>
              </w:rPr>
            </w:pPr>
          </w:p>
          <w:p>
            <w:pPr>
              <w:pStyle w:val="92"/>
              <w:snapToGrid w:val="0"/>
              <w:ind w:firstLine="520"/>
              <w:rPr>
                <w:rStyle w:val="39"/>
                <w:rFonts w:hint="eastAsia" w:ascii="宋体" w:hAnsi="宋体" w:eastAsia="宋体" w:cs="宋体"/>
                <w:color w:val="auto"/>
                <w:sz w:val="26"/>
                <w:highlight w:val="none"/>
              </w:rPr>
            </w:pPr>
          </w:p>
          <w:p>
            <w:pPr>
              <w:snapToGrid w:val="0"/>
              <w:rPr>
                <w:rStyle w:val="39"/>
                <w:rFonts w:hint="eastAsia" w:ascii="宋体" w:hAnsi="宋体" w:eastAsia="宋体" w:cs="宋体"/>
                <w:color w:val="auto"/>
                <w:sz w:val="24"/>
                <w:szCs w:val="24"/>
                <w:highlight w:val="none"/>
              </w:rPr>
            </w:pPr>
          </w:p>
          <w:p>
            <w:pPr>
              <w:snapToGrid w:val="0"/>
              <w:jc w:val="center"/>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采购单位（盖章）</w:t>
            </w:r>
          </w:p>
          <w:p>
            <w:pPr>
              <w:snapToGrid w:val="0"/>
              <w:rPr>
                <w:rStyle w:val="39"/>
                <w:rFonts w:hint="eastAsia" w:ascii="宋体" w:hAnsi="宋体" w:eastAsia="宋体" w:cs="宋体"/>
                <w:color w:val="auto"/>
                <w:sz w:val="24"/>
                <w:szCs w:val="24"/>
                <w:highlight w:val="none"/>
              </w:rPr>
            </w:pPr>
          </w:p>
          <w:p>
            <w:pPr>
              <w:snapToGrid w:val="0"/>
              <w:jc w:val="center"/>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代理机构（盖章）</w:t>
            </w:r>
          </w:p>
          <w:p>
            <w:pPr>
              <w:snapToGrid w:val="0"/>
              <w:rPr>
                <w:rStyle w:val="39"/>
                <w:rFonts w:hint="eastAsia" w:ascii="宋体" w:hAnsi="宋体" w:eastAsia="宋体" w:cs="宋体"/>
                <w:color w:val="auto"/>
                <w:sz w:val="24"/>
                <w:szCs w:val="24"/>
                <w:highlight w:val="none"/>
              </w:rPr>
            </w:pPr>
          </w:p>
          <w:p>
            <w:pPr>
              <w:snapToGrid w:val="0"/>
              <w:ind w:right="480"/>
              <w:jc w:val="center"/>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 xml:space="preserve">      日  期：</w:t>
            </w:r>
            <w:r>
              <w:rPr>
                <w:rStyle w:val="39"/>
                <w:rFonts w:hint="eastAsia" w:ascii="宋体" w:hAnsi="宋体" w:eastAsia="宋体" w:cs="宋体"/>
                <w:color w:val="auto"/>
                <w:sz w:val="24"/>
                <w:szCs w:val="24"/>
                <w:highlight w:val="none"/>
                <w:lang w:eastAsia="zh-CN"/>
              </w:rPr>
              <w:t>2025年</w:t>
            </w:r>
            <w:r>
              <w:rPr>
                <w:rStyle w:val="39"/>
                <w:rFonts w:hint="eastAsia" w:ascii="宋体" w:hAnsi="宋体" w:eastAsia="宋体" w:cs="宋体"/>
                <w:color w:val="auto"/>
                <w:sz w:val="24"/>
                <w:szCs w:val="24"/>
                <w:highlight w:val="none"/>
                <w:lang w:val="en-US" w:eastAsia="zh-CN"/>
              </w:rPr>
              <w:t>6</w:t>
            </w:r>
            <w:r>
              <w:rPr>
                <w:rStyle w:val="39"/>
                <w:rFonts w:hint="eastAsia" w:ascii="宋体" w:hAnsi="宋体" w:eastAsia="宋体" w:cs="宋体"/>
                <w:color w:val="auto"/>
                <w:sz w:val="24"/>
                <w:szCs w:val="24"/>
                <w:highlight w:val="none"/>
              </w:rPr>
              <w:t>月</w:t>
            </w:r>
          </w:p>
          <w:p>
            <w:pPr>
              <w:snapToGrid w:val="0"/>
              <w:jc w:val="center"/>
              <w:rPr>
                <w:rStyle w:val="39"/>
                <w:rFonts w:hint="eastAsia" w:ascii="宋体" w:hAnsi="宋体" w:eastAsia="宋体" w:cs="宋体"/>
                <w:color w:val="auto"/>
                <w:sz w:val="24"/>
                <w:szCs w:val="24"/>
                <w:highlight w:val="none"/>
              </w:rPr>
            </w:pPr>
          </w:p>
        </w:tc>
      </w:tr>
    </w:tbl>
    <w:p>
      <w:pPr>
        <w:pStyle w:val="29"/>
        <w:snapToGrid w:val="0"/>
        <w:ind w:firstLine="3740" w:firstLineChars="850"/>
        <w:rPr>
          <w:rStyle w:val="39"/>
          <w:rFonts w:hint="eastAsia" w:ascii="宋体" w:hAnsi="宋体" w:eastAsia="宋体" w:cs="宋体"/>
          <w:b/>
          <w:color w:val="auto"/>
          <w:sz w:val="44"/>
          <w:szCs w:val="44"/>
          <w:highlight w:val="none"/>
        </w:rPr>
      </w:pPr>
    </w:p>
    <w:p>
      <w:pPr>
        <w:pStyle w:val="29"/>
        <w:snapToGrid w:val="0"/>
        <w:ind w:firstLine="3740" w:firstLineChars="850"/>
        <w:rPr>
          <w:rStyle w:val="39"/>
          <w:rFonts w:hint="eastAsia" w:ascii="宋体" w:hAnsi="宋体" w:eastAsia="宋体" w:cs="宋体"/>
          <w:b/>
          <w:color w:val="auto"/>
          <w:sz w:val="44"/>
          <w:szCs w:val="44"/>
          <w:highlight w:val="none"/>
        </w:rPr>
      </w:pPr>
    </w:p>
    <w:p>
      <w:pPr>
        <w:pStyle w:val="29"/>
        <w:snapToGrid w:val="0"/>
        <w:ind w:firstLine="3740" w:firstLineChars="850"/>
        <w:rPr>
          <w:rStyle w:val="39"/>
          <w:rFonts w:hint="eastAsia" w:ascii="宋体" w:hAnsi="宋体" w:eastAsia="宋体" w:cs="宋体"/>
          <w:b/>
          <w:color w:val="auto"/>
          <w:sz w:val="44"/>
          <w:szCs w:val="44"/>
          <w:highlight w:val="none"/>
        </w:rPr>
      </w:pPr>
      <w:r>
        <w:rPr>
          <w:rStyle w:val="39"/>
          <w:rFonts w:hint="eastAsia" w:ascii="宋体" w:hAnsi="宋体" w:eastAsia="宋体" w:cs="宋体"/>
          <w:b/>
          <w:color w:val="auto"/>
          <w:sz w:val="44"/>
          <w:szCs w:val="44"/>
          <w:highlight w:val="none"/>
        </w:rPr>
        <w:br w:type="textWrapping"/>
      </w:r>
    </w:p>
    <w:p>
      <w:pPr>
        <w:pStyle w:val="29"/>
        <w:snapToGrid w:val="0"/>
        <w:ind w:firstLine="3740" w:firstLineChars="850"/>
        <w:rPr>
          <w:rStyle w:val="39"/>
          <w:rFonts w:hint="eastAsia" w:ascii="宋体" w:hAnsi="宋体" w:eastAsia="宋体" w:cs="宋体"/>
          <w:b/>
          <w:color w:val="auto"/>
          <w:sz w:val="44"/>
          <w:szCs w:val="44"/>
          <w:highlight w:val="none"/>
        </w:rPr>
      </w:pPr>
      <w:r>
        <w:rPr>
          <w:rStyle w:val="39"/>
          <w:rFonts w:hint="eastAsia" w:ascii="宋体" w:hAnsi="宋体" w:eastAsia="宋体" w:cs="宋体"/>
          <w:b/>
          <w:color w:val="auto"/>
          <w:sz w:val="44"/>
          <w:szCs w:val="44"/>
          <w:highlight w:val="none"/>
        </w:rPr>
        <w:t>目  录</w:t>
      </w:r>
    </w:p>
    <w:p>
      <w:pPr>
        <w:pStyle w:val="75"/>
        <w:numPr>
          <w:ilvl w:val="0"/>
          <w:numId w:val="5"/>
        </w:numPr>
        <w:tabs>
          <w:tab w:val="right" w:leader="dot" w:pos="9528"/>
        </w:tabs>
        <w:snapToGrid w:val="0"/>
        <w:spacing w:line="1200" w:lineRule="exact"/>
        <w:ind w:firstLine="640" w:firstLineChars="200"/>
        <w:rPr>
          <w:rStyle w:val="39"/>
          <w:rFonts w:hint="eastAsia" w:ascii="宋体" w:hAnsi="宋体" w:eastAsia="宋体" w:cs="宋体"/>
          <w:color w:val="auto"/>
          <w:sz w:val="32"/>
          <w:szCs w:val="32"/>
          <w:highlight w:val="none"/>
        </w:rPr>
      </w:pPr>
      <w:r>
        <w:rPr>
          <w:rStyle w:val="39"/>
          <w:rFonts w:hint="eastAsia" w:ascii="宋体" w:hAnsi="宋体" w:eastAsia="宋体" w:cs="宋体"/>
          <w:color w:val="auto"/>
          <w:sz w:val="32"/>
          <w:szCs w:val="32"/>
          <w:highlight w:val="none"/>
          <w:lang w:eastAsia="zh-CN"/>
        </w:rPr>
        <w:t>招标公告</w:t>
      </w:r>
    </w:p>
    <w:p>
      <w:pPr>
        <w:pStyle w:val="75"/>
        <w:tabs>
          <w:tab w:val="right" w:leader="dot" w:pos="9528"/>
        </w:tabs>
        <w:snapToGrid w:val="0"/>
        <w:spacing w:line="1200" w:lineRule="exact"/>
        <w:ind w:firstLine="640" w:firstLineChars="200"/>
        <w:rPr>
          <w:rStyle w:val="39"/>
          <w:rFonts w:hint="eastAsia" w:ascii="宋体" w:hAnsi="宋体" w:eastAsia="宋体" w:cs="宋体"/>
          <w:color w:val="auto"/>
          <w:sz w:val="32"/>
          <w:szCs w:val="32"/>
          <w:highlight w:val="none"/>
        </w:rPr>
      </w:pPr>
      <w:r>
        <w:rPr>
          <w:rStyle w:val="39"/>
          <w:rFonts w:hint="eastAsia" w:ascii="宋体" w:hAnsi="宋体" w:eastAsia="宋体" w:cs="宋体"/>
          <w:color w:val="auto"/>
          <w:sz w:val="32"/>
          <w:szCs w:val="32"/>
          <w:highlight w:val="none"/>
        </w:rPr>
        <w:t>第二章 投标供应商须知</w:t>
      </w:r>
    </w:p>
    <w:p>
      <w:pPr>
        <w:pStyle w:val="75"/>
        <w:tabs>
          <w:tab w:val="right" w:leader="dot" w:pos="9528"/>
        </w:tabs>
        <w:snapToGrid w:val="0"/>
        <w:spacing w:line="1200" w:lineRule="exact"/>
        <w:ind w:firstLine="640" w:firstLineChars="200"/>
        <w:rPr>
          <w:rStyle w:val="39"/>
          <w:rFonts w:hint="eastAsia" w:ascii="宋体" w:hAnsi="宋体" w:eastAsia="宋体" w:cs="宋体"/>
          <w:color w:val="auto"/>
          <w:sz w:val="32"/>
          <w:szCs w:val="32"/>
          <w:highlight w:val="none"/>
        </w:rPr>
      </w:pPr>
      <w:r>
        <w:rPr>
          <w:rStyle w:val="39"/>
          <w:rFonts w:hint="eastAsia" w:ascii="宋体" w:hAnsi="宋体" w:eastAsia="宋体" w:cs="宋体"/>
          <w:color w:val="auto"/>
          <w:sz w:val="32"/>
          <w:szCs w:val="32"/>
          <w:highlight w:val="none"/>
        </w:rPr>
        <w:t>第三章 项目需求</w:t>
      </w:r>
    </w:p>
    <w:p>
      <w:pPr>
        <w:pStyle w:val="75"/>
        <w:tabs>
          <w:tab w:val="right" w:leader="dot" w:pos="9528"/>
        </w:tabs>
        <w:snapToGrid w:val="0"/>
        <w:spacing w:line="1200" w:lineRule="exact"/>
        <w:ind w:firstLine="640" w:firstLineChars="200"/>
        <w:rPr>
          <w:rStyle w:val="39"/>
          <w:rFonts w:hint="eastAsia" w:ascii="宋体" w:hAnsi="宋体" w:eastAsia="宋体" w:cs="宋体"/>
          <w:color w:val="auto"/>
          <w:sz w:val="32"/>
          <w:szCs w:val="32"/>
          <w:highlight w:val="none"/>
        </w:rPr>
      </w:pPr>
      <w:r>
        <w:rPr>
          <w:rStyle w:val="39"/>
          <w:rFonts w:hint="eastAsia" w:ascii="宋体" w:hAnsi="宋体" w:eastAsia="宋体" w:cs="宋体"/>
          <w:color w:val="auto"/>
          <w:sz w:val="32"/>
          <w:szCs w:val="32"/>
          <w:highlight w:val="none"/>
        </w:rPr>
        <w:t>第四章 评审方法和程序</w:t>
      </w:r>
    </w:p>
    <w:p>
      <w:pPr>
        <w:pStyle w:val="75"/>
        <w:tabs>
          <w:tab w:val="right" w:leader="dot" w:pos="9528"/>
        </w:tabs>
        <w:snapToGrid w:val="0"/>
        <w:spacing w:line="1200" w:lineRule="exact"/>
        <w:ind w:firstLine="640" w:firstLineChars="200"/>
        <w:rPr>
          <w:rStyle w:val="39"/>
          <w:rFonts w:hint="eastAsia" w:ascii="宋体" w:hAnsi="宋体" w:eastAsia="宋体" w:cs="宋体"/>
          <w:color w:val="auto"/>
          <w:sz w:val="32"/>
          <w:szCs w:val="32"/>
          <w:highlight w:val="none"/>
        </w:rPr>
      </w:pPr>
      <w:r>
        <w:rPr>
          <w:rStyle w:val="39"/>
          <w:rFonts w:hint="eastAsia" w:ascii="宋体" w:hAnsi="宋体" w:eastAsia="宋体" w:cs="宋体"/>
          <w:color w:val="auto"/>
          <w:sz w:val="32"/>
          <w:szCs w:val="32"/>
          <w:highlight w:val="none"/>
        </w:rPr>
        <w:t>第五章 合同授予</w:t>
      </w:r>
    </w:p>
    <w:p>
      <w:pPr>
        <w:pStyle w:val="75"/>
        <w:tabs>
          <w:tab w:val="right" w:leader="dot" w:pos="9528"/>
        </w:tabs>
        <w:snapToGrid w:val="0"/>
        <w:spacing w:line="1200" w:lineRule="exact"/>
        <w:ind w:firstLine="640" w:firstLineChars="200"/>
        <w:rPr>
          <w:rStyle w:val="39"/>
          <w:rFonts w:hint="eastAsia" w:ascii="宋体" w:hAnsi="宋体" w:eastAsia="宋体" w:cs="宋体"/>
          <w:color w:val="auto"/>
          <w:sz w:val="32"/>
          <w:szCs w:val="32"/>
          <w:highlight w:val="none"/>
        </w:rPr>
      </w:pPr>
      <w:r>
        <w:rPr>
          <w:rStyle w:val="39"/>
          <w:rFonts w:hint="eastAsia" w:ascii="宋体" w:hAnsi="宋体" w:eastAsia="宋体" w:cs="宋体"/>
          <w:color w:val="auto"/>
          <w:sz w:val="32"/>
          <w:szCs w:val="32"/>
          <w:highlight w:val="none"/>
        </w:rPr>
        <w:t>第六章 质疑与投诉</w:t>
      </w:r>
    </w:p>
    <w:p>
      <w:pPr>
        <w:pStyle w:val="75"/>
        <w:tabs>
          <w:tab w:val="right" w:leader="dot" w:pos="9528"/>
        </w:tabs>
        <w:snapToGrid w:val="0"/>
        <w:spacing w:line="1200" w:lineRule="exact"/>
        <w:ind w:firstLine="640" w:firstLineChars="200"/>
        <w:rPr>
          <w:rStyle w:val="39"/>
          <w:rFonts w:hint="eastAsia" w:ascii="宋体" w:hAnsi="宋体" w:eastAsia="宋体" w:cs="宋体"/>
          <w:color w:val="auto"/>
          <w:sz w:val="32"/>
          <w:szCs w:val="32"/>
          <w:highlight w:val="none"/>
        </w:rPr>
      </w:pPr>
      <w:r>
        <w:rPr>
          <w:rStyle w:val="39"/>
          <w:rFonts w:hint="eastAsia" w:ascii="宋体" w:hAnsi="宋体" w:eastAsia="宋体" w:cs="宋体"/>
          <w:color w:val="auto"/>
          <w:sz w:val="32"/>
          <w:szCs w:val="32"/>
          <w:highlight w:val="none"/>
        </w:rPr>
        <w:t>第七章 投标响应文件组成及格式</w:t>
      </w:r>
    </w:p>
    <w:p>
      <w:pPr>
        <w:snapToGrid w:val="0"/>
        <w:spacing w:line="1200" w:lineRule="exact"/>
        <w:rPr>
          <w:rStyle w:val="39"/>
          <w:rFonts w:hint="eastAsia" w:ascii="宋体" w:hAnsi="宋体" w:eastAsia="宋体" w:cs="宋体"/>
          <w:color w:val="auto"/>
          <w:sz w:val="36"/>
          <w:szCs w:val="36"/>
          <w:highlight w:val="none"/>
        </w:rPr>
      </w:pPr>
    </w:p>
    <w:p>
      <w:pPr>
        <w:pStyle w:val="29"/>
        <w:snapToGrid w:val="0"/>
        <w:spacing w:line="1200" w:lineRule="exact"/>
        <w:ind w:firstLine="0"/>
        <w:jc w:val="center"/>
        <w:rPr>
          <w:rStyle w:val="39"/>
          <w:rFonts w:hint="eastAsia" w:ascii="宋体" w:hAnsi="宋体" w:eastAsia="宋体" w:cs="宋体"/>
          <w:b/>
          <w:bCs/>
          <w:color w:val="auto"/>
          <w:sz w:val="36"/>
          <w:szCs w:val="36"/>
          <w:highlight w:val="none"/>
        </w:rPr>
      </w:pPr>
    </w:p>
    <w:p>
      <w:pPr>
        <w:snapToGrid w:val="0"/>
        <w:rPr>
          <w:rStyle w:val="39"/>
          <w:rFonts w:hint="eastAsia" w:ascii="宋体" w:hAnsi="宋体" w:eastAsia="宋体" w:cs="宋体"/>
          <w:color w:val="auto"/>
          <w:sz w:val="30"/>
          <w:highlight w:val="none"/>
        </w:rPr>
      </w:pPr>
    </w:p>
    <w:p>
      <w:pPr>
        <w:pStyle w:val="75"/>
        <w:snapToGrid w:val="0"/>
        <w:rPr>
          <w:rStyle w:val="39"/>
          <w:rFonts w:hint="eastAsia" w:ascii="宋体" w:hAnsi="宋体" w:eastAsia="宋体" w:cs="宋体"/>
          <w:color w:val="auto"/>
          <w:highlight w:val="none"/>
        </w:rPr>
      </w:pPr>
    </w:p>
    <w:p>
      <w:pPr>
        <w:snapToGrid w:val="0"/>
        <w:rPr>
          <w:rStyle w:val="39"/>
          <w:rFonts w:hint="eastAsia" w:ascii="宋体" w:hAnsi="宋体" w:eastAsia="宋体" w:cs="宋体"/>
          <w:color w:val="auto"/>
          <w:highlight w:val="none"/>
        </w:rPr>
      </w:pPr>
    </w:p>
    <w:p>
      <w:pPr>
        <w:pStyle w:val="75"/>
        <w:snapToGrid w:val="0"/>
        <w:rPr>
          <w:rStyle w:val="39"/>
          <w:rFonts w:hint="eastAsia" w:ascii="宋体" w:hAnsi="宋体" w:eastAsia="宋体" w:cs="宋体"/>
          <w:color w:val="auto"/>
          <w:highlight w:val="none"/>
        </w:rPr>
      </w:pPr>
    </w:p>
    <w:p>
      <w:pPr>
        <w:snapToGrid w:val="0"/>
        <w:spacing w:line="500" w:lineRule="exact"/>
        <w:rPr>
          <w:rStyle w:val="39"/>
          <w:rFonts w:hint="eastAsia" w:ascii="宋体" w:hAnsi="宋体" w:eastAsia="宋体" w:cs="宋体"/>
          <w:b/>
          <w:bCs/>
          <w:color w:val="auto"/>
          <w:sz w:val="24"/>
          <w:szCs w:val="24"/>
          <w:highlight w:val="none"/>
        </w:rPr>
      </w:pPr>
    </w:p>
    <w:p>
      <w:pPr>
        <w:snapToGrid w:val="0"/>
        <w:spacing w:line="500" w:lineRule="exact"/>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尊敬的投标供应商：</w:t>
      </w:r>
    </w:p>
    <w:p>
      <w:pPr>
        <w:snapToGrid w:val="0"/>
        <w:spacing w:line="500" w:lineRule="exact"/>
        <w:ind w:firstLine="480" w:firstLineChars="200"/>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欢迎参加本采购项目的公开招标。为了保证本次招标顺利进行，请在制作投标响应文件之前，仔细阅读本招标文件的各项条款，并按要求制作和递交投标响应文件。谢谢合作！</w:t>
      </w:r>
    </w:p>
    <w:p>
      <w:pPr>
        <w:pStyle w:val="92"/>
        <w:snapToGrid w:val="0"/>
        <w:rPr>
          <w:rStyle w:val="39"/>
          <w:rFonts w:hint="eastAsia" w:ascii="宋体" w:hAnsi="宋体" w:eastAsia="宋体" w:cs="宋体"/>
          <w:color w:val="auto"/>
          <w:sz w:val="21"/>
          <w:szCs w:val="21"/>
          <w:highlight w:val="none"/>
        </w:rPr>
      </w:pPr>
    </w:p>
    <w:p>
      <w:pPr>
        <w:tabs>
          <w:tab w:val="left" w:pos="1050"/>
          <w:tab w:val="right" w:leader="dot" w:pos="9402"/>
        </w:tabs>
        <w:snapToGrid w:val="0"/>
        <w:spacing w:line="520" w:lineRule="exact"/>
        <w:jc w:val="center"/>
        <w:rPr>
          <w:rStyle w:val="39"/>
          <w:rFonts w:hint="eastAsia" w:ascii="宋体" w:hAnsi="宋体" w:eastAsia="宋体" w:cs="宋体"/>
          <w:b/>
          <w:color w:val="auto"/>
          <w:w w:val="80"/>
          <w:kern w:val="44"/>
          <w:sz w:val="36"/>
          <w:szCs w:val="36"/>
          <w:highlight w:val="none"/>
          <w:lang w:eastAsia="zh-CN"/>
        </w:rPr>
      </w:pPr>
      <w:r>
        <w:rPr>
          <w:rStyle w:val="39"/>
          <w:rFonts w:hint="eastAsia" w:ascii="宋体" w:hAnsi="宋体" w:eastAsia="宋体" w:cs="宋体"/>
          <w:b/>
          <w:color w:val="auto"/>
          <w:w w:val="80"/>
          <w:kern w:val="44"/>
          <w:sz w:val="36"/>
          <w:szCs w:val="36"/>
          <w:highlight w:val="none"/>
        </w:rPr>
        <w:t xml:space="preserve">第一章  </w:t>
      </w:r>
      <w:r>
        <w:rPr>
          <w:rStyle w:val="39"/>
          <w:rFonts w:hint="eastAsia" w:ascii="宋体" w:hAnsi="宋体" w:eastAsia="宋体" w:cs="宋体"/>
          <w:b/>
          <w:color w:val="auto"/>
          <w:w w:val="80"/>
          <w:kern w:val="44"/>
          <w:sz w:val="36"/>
          <w:szCs w:val="36"/>
          <w:highlight w:val="none"/>
          <w:lang w:eastAsia="zh-CN"/>
        </w:rPr>
        <w:t>招标公告</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Cs/>
          <w:color w:val="auto"/>
          <w:sz w:val="21"/>
          <w:szCs w:val="21"/>
          <w:highlight w:val="none"/>
        </w:rPr>
      </w:pPr>
      <w:r>
        <w:rPr>
          <w:rStyle w:val="39"/>
          <w:rFonts w:hint="eastAsia" w:ascii="宋体" w:hAnsi="宋体" w:eastAsia="宋体" w:cs="宋体"/>
          <w:bCs/>
          <w:color w:val="auto"/>
          <w:sz w:val="21"/>
          <w:szCs w:val="21"/>
          <w:highlight w:val="none"/>
          <w:u w:val="single" w:color="000000"/>
        </w:rPr>
        <w:t>江苏正扬招标代理有限公司</w:t>
      </w:r>
      <w:r>
        <w:rPr>
          <w:rStyle w:val="39"/>
          <w:rFonts w:hint="eastAsia" w:ascii="宋体" w:hAnsi="宋体" w:eastAsia="宋体" w:cs="宋体"/>
          <w:bCs/>
          <w:color w:val="auto"/>
          <w:sz w:val="21"/>
          <w:szCs w:val="21"/>
          <w:highlight w:val="none"/>
        </w:rPr>
        <w:t>（以下称代理机构）受</w:t>
      </w:r>
      <w:r>
        <w:rPr>
          <w:rStyle w:val="39"/>
          <w:rFonts w:hint="eastAsia" w:ascii="宋体" w:hAnsi="宋体" w:eastAsia="宋体" w:cs="宋体"/>
          <w:bCs/>
          <w:color w:val="auto"/>
          <w:sz w:val="21"/>
          <w:szCs w:val="21"/>
          <w:highlight w:val="none"/>
          <w:u w:val="single" w:color="000000"/>
          <w:lang w:eastAsia="zh-CN"/>
        </w:rPr>
        <w:t>南通博物苑</w:t>
      </w:r>
      <w:r>
        <w:rPr>
          <w:rStyle w:val="39"/>
          <w:rFonts w:hint="eastAsia" w:ascii="宋体" w:hAnsi="宋体" w:eastAsia="宋体" w:cs="宋体"/>
          <w:bCs/>
          <w:color w:val="auto"/>
          <w:sz w:val="21"/>
          <w:szCs w:val="21"/>
          <w:highlight w:val="none"/>
        </w:rPr>
        <w:t>（以下称采购人）的委托，就</w:t>
      </w:r>
      <w:r>
        <w:rPr>
          <w:rStyle w:val="39"/>
          <w:rFonts w:hint="eastAsia" w:ascii="宋体" w:hAnsi="宋体" w:eastAsia="宋体" w:cs="宋体"/>
          <w:bCs/>
          <w:color w:val="auto"/>
          <w:sz w:val="21"/>
          <w:szCs w:val="21"/>
          <w:highlight w:val="none"/>
          <w:u w:val="single" w:color="000000"/>
          <w:lang w:eastAsia="zh-CN"/>
        </w:rPr>
        <w:t>南通博物苑多语种团队讲解器采购项目</w:t>
      </w:r>
      <w:r>
        <w:rPr>
          <w:rStyle w:val="39"/>
          <w:rFonts w:hint="eastAsia" w:ascii="宋体" w:hAnsi="宋体" w:eastAsia="宋体" w:cs="宋体"/>
          <w:bCs/>
          <w:color w:val="auto"/>
          <w:sz w:val="21"/>
          <w:szCs w:val="21"/>
          <w:highlight w:val="none"/>
        </w:rPr>
        <w:t>组织公开招标采购，诚邀符合条件的潜在投标供应商参加投标。</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
          <w:bCs/>
          <w:color w:val="auto"/>
          <w:sz w:val="21"/>
          <w:szCs w:val="21"/>
          <w:highlight w:val="none"/>
        </w:rPr>
      </w:pPr>
      <w:r>
        <w:rPr>
          <w:rStyle w:val="39"/>
          <w:rFonts w:hint="eastAsia" w:ascii="宋体" w:hAnsi="宋体" w:eastAsia="宋体" w:cs="宋体"/>
          <w:b/>
          <w:bCs/>
          <w:color w:val="auto"/>
          <w:sz w:val="21"/>
          <w:szCs w:val="21"/>
          <w:highlight w:val="none"/>
        </w:rPr>
        <w:t>一、项目基本情况</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Cs/>
          <w:color w:val="auto"/>
          <w:sz w:val="21"/>
          <w:szCs w:val="21"/>
          <w:highlight w:val="none"/>
          <w:lang w:eastAsia="zh-CN"/>
        </w:rPr>
      </w:pPr>
      <w:r>
        <w:rPr>
          <w:rStyle w:val="39"/>
          <w:rFonts w:hint="eastAsia" w:ascii="宋体" w:hAnsi="宋体" w:eastAsia="宋体" w:cs="宋体"/>
          <w:bCs/>
          <w:color w:val="auto"/>
          <w:sz w:val="21"/>
          <w:szCs w:val="21"/>
          <w:highlight w:val="none"/>
        </w:rPr>
        <w:t>1</w:t>
      </w:r>
      <w:r>
        <w:rPr>
          <w:rStyle w:val="39"/>
          <w:rFonts w:hint="eastAsia" w:ascii="宋体" w:hAnsi="宋体" w:eastAsia="宋体" w:cs="宋体"/>
          <w:bCs/>
          <w:color w:val="auto"/>
          <w:sz w:val="21"/>
          <w:szCs w:val="21"/>
          <w:highlight w:val="none"/>
          <w:lang w:eastAsia="zh-CN"/>
        </w:rPr>
        <w:t>.</w:t>
      </w:r>
      <w:r>
        <w:rPr>
          <w:rStyle w:val="39"/>
          <w:rFonts w:hint="eastAsia" w:ascii="宋体" w:hAnsi="宋体" w:eastAsia="宋体" w:cs="宋体"/>
          <w:bCs/>
          <w:color w:val="auto"/>
          <w:sz w:val="21"/>
          <w:szCs w:val="21"/>
          <w:highlight w:val="none"/>
        </w:rPr>
        <w:t>项目名称：</w:t>
      </w:r>
      <w:r>
        <w:rPr>
          <w:rStyle w:val="39"/>
          <w:rFonts w:hint="eastAsia" w:ascii="宋体" w:hAnsi="宋体" w:eastAsia="宋体" w:cs="宋体"/>
          <w:bCs/>
          <w:color w:val="auto"/>
          <w:sz w:val="21"/>
          <w:szCs w:val="21"/>
          <w:highlight w:val="none"/>
          <w:lang w:eastAsia="zh-CN"/>
        </w:rPr>
        <w:t>南通博物苑多语种团队讲解器采购项目；</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Cs/>
          <w:color w:val="auto"/>
          <w:sz w:val="21"/>
          <w:szCs w:val="21"/>
          <w:highlight w:val="none"/>
        </w:rPr>
      </w:pPr>
      <w:r>
        <w:rPr>
          <w:rStyle w:val="39"/>
          <w:rFonts w:hint="eastAsia" w:ascii="宋体" w:hAnsi="宋体" w:eastAsia="宋体" w:cs="宋体"/>
          <w:bCs/>
          <w:color w:val="auto"/>
          <w:sz w:val="21"/>
          <w:szCs w:val="21"/>
          <w:highlight w:val="none"/>
        </w:rPr>
        <w:t>2</w:t>
      </w:r>
      <w:r>
        <w:rPr>
          <w:rStyle w:val="39"/>
          <w:rFonts w:hint="eastAsia" w:ascii="宋体" w:hAnsi="宋体" w:eastAsia="宋体" w:cs="宋体"/>
          <w:bCs/>
          <w:color w:val="auto"/>
          <w:sz w:val="21"/>
          <w:szCs w:val="21"/>
          <w:highlight w:val="none"/>
          <w:lang w:eastAsia="zh-CN"/>
        </w:rPr>
        <w:t>.</w:t>
      </w:r>
      <w:r>
        <w:rPr>
          <w:rStyle w:val="39"/>
          <w:rFonts w:hint="eastAsia" w:ascii="宋体" w:hAnsi="宋体" w:eastAsia="宋体" w:cs="宋体"/>
          <w:bCs/>
          <w:color w:val="auto"/>
          <w:sz w:val="21"/>
          <w:szCs w:val="21"/>
          <w:highlight w:val="none"/>
          <w:lang w:val="en-US" w:eastAsia="zh-CN"/>
        </w:rPr>
        <w:t>采购方式：公开招标；</w:t>
      </w:r>
      <w:r>
        <w:rPr>
          <w:rStyle w:val="39"/>
          <w:rFonts w:hint="eastAsia" w:ascii="宋体" w:hAnsi="宋体" w:eastAsia="宋体" w:cs="宋体"/>
          <w:bCs/>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ind w:firstLine="420" w:firstLineChars="200"/>
        <w:textAlignment w:val="baseline"/>
        <w:rPr>
          <w:rStyle w:val="39"/>
          <w:rFonts w:hint="default" w:ascii="宋体" w:hAnsi="宋体" w:eastAsia="宋体" w:cs="宋体"/>
          <w:bCs/>
          <w:color w:val="auto"/>
          <w:sz w:val="21"/>
          <w:szCs w:val="21"/>
          <w:highlight w:val="none"/>
          <w:lang w:val="en-US" w:eastAsia="zh-CN"/>
        </w:rPr>
      </w:pPr>
      <w:r>
        <w:rPr>
          <w:rStyle w:val="39"/>
          <w:rFonts w:hint="eastAsia" w:ascii="宋体" w:hAnsi="宋体" w:eastAsia="宋体" w:cs="宋体"/>
          <w:bCs/>
          <w:color w:val="auto"/>
          <w:sz w:val="21"/>
          <w:szCs w:val="21"/>
          <w:highlight w:val="none"/>
          <w:lang w:val="en-US" w:eastAsia="zh-CN"/>
        </w:rPr>
        <w:t>3.项目预算：18万元；</w:t>
      </w:r>
    </w:p>
    <w:p>
      <w:pPr>
        <w:keepNext w:val="0"/>
        <w:keepLines w:val="0"/>
        <w:pageBreakBefore w:val="0"/>
        <w:widowControl/>
        <w:kinsoku/>
        <w:wordWrap/>
        <w:overflowPunct/>
        <w:topLinePunct w:val="0"/>
        <w:autoSpaceDE/>
        <w:autoSpaceDN/>
        <w:bidi w:val="0"/>
        <w:adjustRightInd/>
        <w:snapToGrid w:val="0"/>
        <w:ind w:firstLine="420" w:firstLineChars="200"/>
        <w:textAlignment w:val="baseline"/>
        <w:rPr>
          <w:rStyle w:val="39"/>
          <w:rFonts w:hint="eastAsia" w:ascii="宋体" w:hAnsi="宋体" w:eastAsia="宋体" w:cs="宋体"/>
          <w:bCs/>
          <w:color w:val="auto"/>
          <w:sz w:val="21"/>
          <w:szCs w:val="21"/>
          <w:highlight w:val="none"/>
          <w:lang w:val="en-US" w:eastAsia="zh-CN"/>
        </w:rPr>
      </w:pPr>
      <w:r>
        <w:rPr>
          <w:rStyle w:val="39"/>
          <w:rFonts w:hint="eastAsia" w:ascii="宋体" w:hAnsi="宋体" w:eastAsia="宋体" w:cs="宋体"/>
          <w:bCs/>
          <w:color w:val="auto"/>
          <w:sz w:val="21"/>
          <w:szCs w:val="21"/>
          <w:highlight w:val="none"/>
          <w:lang w:val="en-US" w:eastAsia="zh-CN"/>
        </w:rPr>
        <w:t>4.最高限价：18万元；</w:t>
      </w:r>
    </w:p>
    <w:p>
      <w:pPr>
        <w:keepNext w:val="0"/>
        <w:keepLines w:val="0"/>
        <w:pageBreakBefore w:val="0"/>
        <w:widowControl/>
        <w:kinsoku/>
        <w:wordWrap/>
        <w:overflowPunct/>
        <w:topLinePunct w:val="0"/>
        <w:autoSpaceDE/>
        <w:autoSpaceDN/>
        <w:bidi w:val="0"/>
        <w:adjustRightInd/>
        <w:snapToGrid w:val="0"/>
        <w:ind w:firstLine="420" w:firstLineChars="200"/>
        <w:textAlignment w:val="baseline"/>
        <w:rPr>
          <w:rStyle w:val="39"/>
          <w:rFonts w:hint="eastAsia" w:ascii="宋体" w:hAnsi="宋体" w:eastAsia="宋体" w:cs="宋体"/>
          <w:bCs/>
          <w:color w:val="auto"/>
          <w:sz w:val="21"/>
          <w:szCs w:val="21"/>
          <w:highlight w:val="none"/>
          <w:lang w:val="en-US" w:eastAsia="zh-CN"/>
        </w:rPr>
      </w:pPr>
      <w:r>
        <w:rPr>
          <w:rStyle w:val="39"/>
          <w:rFonts w:hint="eastAsia" w:ascii="宋体" w:hAnsi="宋体" w:eastAsia="宋体" w:cs="宋体"/>
          <w:bCs/>
          <w:color w:val="auto"/>
          <w:sz w:val="21"/>
          <w:szCs w:val="21"/>
          <w:highlight w:val="none"/>
          <w:lang w:val="en-US" w:eastAsia="zh-CN"/>
        </w:rPr>
        <w:t>5.项目需求：详见招标文件第三章；</w:t>
      </w:r>
    </w:p>
    <w:p>
      <w:pPr>
        <w:keepNext w:val="0"/>
        <w:keepLines w:val="0"/>
        <w:pageBreakBefore w:val="0"/>
        <w:widowControl/>
        <w:kinsoku/>
        <w:wordWrap/>
        <w:overflowPunct/>
        <w:topLinePunct w:val="0"/>
        <w:autoSpaceDE/>
        <w:autoSpaceDN/>
        <w:bidi w:val="0"/>
        <w:adjustRightInd/>
        <w:snapToGrid w:val="0"/>
        <w:ind w:firstLine="420" w:firstLineChars="200"/>
        <w:textAlignment w:val="baseline"/>
        <w:rPr>
          <w:rStyle w:val="39"/>
          <w:rFonts w:hint="eastAsia" w:ascii="宋体" w:hAnsi="宋体" w:eastAsia="宋体" w:cs="宋体"/>
          <w:bCs/>
          <w:color w:val="auto"/>
          <w:sz w:val="21"/>
          <w:szCs w:val="21"/>
          <w:highlight w:val="none"/>
          <w:lang w:val="en-US" w:eastAsia="zh-CN"/>
        </w:rPr>
      </w:pPr>
      <w:r>
        <w:rPr>
          <w:rStyle w:val="39"/>
          <w:rFonts w:hint="eastAsia" w:ascii="宋体" w:hAnsi="宋体" w:eastAsia="宋体" w:cs="宋体"/>
          <w:bCs/>
          <w:color w:val="auto"/>
          <w:sz w:val="21"/>
          <w:szCs w:val="21"/>
          <w:highlight w:val="none"/>
          <w:lang w:val="en-US" w:eastAsia="zh-CN"/>
        </w:rPr>
        <w:t>6.合同履行期限：在合同签订后30日内完成送货、安装调试、培训等项目交付流程；</w:t>
      </w:r>
    </w:p>
    <w:p>
      <w:pPr>
        <w:keepNext w:val="0"/>
        <w:keepLines w:val="0"/>
        <w:pageBreakBefore w:val="0"/>
        <w:widowControl/>
        <w:kinsoku/>
        <w:wordWrap/>
        <w:overflowPunct/>
        <w:topLinePunct w:val="0"/>
        <w:autoSpaceDE/>
        <w:autoSpaceDN/>
        <w:bidi w:val="0"/>
        <w:adjustRightInd/>
        <w:snapToGrid w:val="0"/>
        <w:ind w:firstLine="420" w:firstLineChars="200"/>
        <w:textAlignment w:val="baseline"/>
        <w:rPr>
          <w:rStyle w:val="39"/>
          <w:rFonts w:hint="eastAsia" w:ascii="宋体" w:hAnsi="宋体" w:eastAsia="宋体" w:cs="宋体"/>
          <w:bCs/>
          <w:color w:val="auto"/>
          <w:sz w:val="21"/>
          <w:szCs w:val="21"/>
          <w:highlight w:val="none"/>
          <w:lang w:val="en-US" w:eastAsia="zh-CN"/>
        </w:rPr>
      </w:pPr>
      <w:r>
        <w:rPr>
          <w:rStyle w:val="39"/>
          <w:rFonts w:hint="eastAsia" w:ascii="宋体" w:hAnsi="宋体" w:eastAsia="宋体" w:cs="宋体"/>
          <w:bCs/>
          <w:color w:val="auto"/>
          <w:sz w:val="21"/>
          <w:szCs w:val="21"/>
          <w:highlight w:val="none"/>
          <w:lang w:val="en-US" w:eastAsia="zh-CN"/>
        </w:rPr>
        <w:t>7.本项目不接受联合体投标。</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Style w:val="39"/>
          <w:rFonts w:hint="eastAsia" w:ascii="宋体" w:hAnsi="宋体" w:eastAsia="宋体" w:cs="宋体"/>
          <w:b/>
          <w:bCs/>
          <w:color w:val="auto"/>
          <w:kern w:val="0"/>
          <w:sz w:val="21"/>
          <w:szCs w:val="21"/>
          <w:highlight w:val="none"/>
        </w:rPr>
      </w:pPr>
      <w:r>
        <w:rPr>
          <w:rStyle w:val="39"/>
          <w:rFonts w:hint="eastAsia" w:ascii="宋体" w:hAnsi="宋体" w:eastAsia="宋体" w:cs="宋体"/>
          <w:b/>
          <w:bCs/>
          <w:color w:val="auto"/>
          <w:kern w:val="0"/>
          <w:sz w:val="21"/>
          <w:szCs w:val="21"/>
          <w:highlight w:val="none"/>
        </w:rPr>
        <w:t>二、申请人的资格要求：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Cs/>
          <w:color w:val="auto"/>
          <w:sz w:val="21"/>
          <w:szCs w:val="21"/>
          <w:highlight w:val="none"/>
        </w:rPr>
      </w:pPr>
      <w:r>
        <w:rPr>
          <w:rStyle w:val="39"/>
          <w:rFonts w:hint="eastAsia" w:ascii="宋体" w:hAnsi="宋体" w:eastAsia="宋体" w:cs="宋体"/>
          <w:bCs/>
          <w:color w:val="auto"/>
          <w:sz w:val="21"/>
          <w:szCs w:val="21"/>
          <w:highlight w:val="none"/>
          <w:lang w:eastAsia="zh-CN"/>
        </w:rPr>
        <w:t>1.</w:t>
      </w:r>
      <w:r>
        <w:rPr>
          <w:rStyle w:val="39"/>
          <w:rFonts w:hint="eastAsia" w:ascii="宋体" w:hAnsi="宋体" w:eastAsia="宋体" w:cs="宋体"/>
          <w:bCs/>
          <w:color w:val="auto"/>
          <w:sz w:val="21"/>
          <w:szCs w:val="21"/>
          <w:highlight w:val="none"/>
        </w:rPr>
        <w:t>具有独立承担民事责任的能力；具有良好的商业信誉和健全的财务会计制度；具有履行合同所必需的设备和专业技术能力；有依法缴纳税收和社会保障资金的良好记录；参加</w:t>
      </w:r>
      <w:r>
        <w:rPr>
          <w:rStyle w:val="39"/>
          <w:rFonts w:hint="eastAsia" w:ascii="宋体" w:hAnsi="宋体" w:eastAsia="宋体" w:cs="宋体"/>
          <w:bCs/>
          <w:color w:val="auto"/>
          <w:sz w:val="21"/>
          <w:szCs w:val="21"/>
          <w:highlight w:val="none"/>
          <w:lang w:eastAsia="zh-CN"/>
        </w:rPr>
        <w:t>采购活动</w:t>
      </w:r>
      <w:r>
        <w:rPr>
          <w:rStyle w:val="39"/>
          <w:rFonts w:hint="eastAsia" w:ascii="宋体" w:hAnsi="宋体" w:eastAsia="宋体" w:cs="宋体"/>
          <w:bCs/>
          <w:color w:val="auto"/>
          <w:sz w:val="21"/>
          <w:szCs w:val="21"/>
          <w:highlight w:val="none"/>
        </w:rPr>
        <w:t>前三年内，在经营活动中没有重大违法记录。</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b/>
          <w:color w:val="auto"/>
          <w:sz w:val="21"/>
          <w:szCs w:val="21"/>
          <w:highlight w:val="none"/>
        </w:rPr>
        <w:t>投标供应商其它资格要求：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val="en-US" w:eastAsia="zh-CN"/>
        </w:rPr>
        <w:t>2</w:t>
      </w:r>
      <w:r>
        <w:rPr>
          <w:rStyle w:val="39"/>
          <w:rFonts w:hint="eastAsia" w:ascii="宋体" w:hAnsi="宋体" w:eastAsia="宋体" w:cs="宋体"/>
          <w:color w:val="auto"/>
          <w:sz w:val="21"/>
          <w:szCs w:val="21"/>
          <w:highlight w:val="none"/>
          <w:lang w:eastAsia="zh-CN"/>
        </w:rPr>
        <w:t>.投标供应商提供有效的营业执照等具有独立承担民事责任能力的证明材料复印件</w:t>
      </w:r>
      <w:r>
        <w:rPr>
          <w:rStyle w:val="39"/>
          <w:rFonts w:hint="eastAsia" w:ascii="宋体" w:hAnsi="宋体" w:eastAsia="宋体" w:cs="宋体"/>
          <w:color w:val="auto"/>
          <w:sz w:val="21"/>
          <w:szCs w:val="21"/>
          <w:highlight w:val="none"/>
        </w:rPr>
        <w:t>。</w:t>
      </w:r>
    </w:p>
    <w:p>
      <w:pPr>
        <w:pStyle w:val="104"/>
        <w:keepNext w:val="0"/>
        <w:keepLines w:val="0"/>
        <w:pageBreakBefore w:val="0"/>
        <w:widowControl/>
        <w:kinsoku/>
        <w:wordWrap/>
        <w:overflowPunct/>
        <w:topLinePunct w:val="0"/>
        <w:autoSpaceDE/>
        <w:autoSpaceDN/>
        <w:bidi w:val="0"/>
        <w:adjustRightInd/>
        <w:snapToGrid w:val="0"/>
        <w:spacing w:line="360" w:lineRule="auto"/>
        <w:ind w:firstLine="480"/>
        <w:textAlignment w:val="baseline"/>
        <w:rPr>
          <w:rStyle w:val="39"/>
          <w:rFonts w:hint="eastAsia" w:ascii="宋体" w:hAnsi="宋体" w:eastAsia="宋体" w:cs="宋体"/>
          <w:color w:val="auto"/>
          <w:sz w:val="21"/>
          <w:szCs w:val="21"/>
          <w:highlight w:val="none"/>
        </w:rPr>
      </w:pPr>
      <w:r>
        <w:rPr>
          <w:rStyle w:val="39"/>
          <w:rFonts w:hint="eastAsia" w:hAnsi="宋体" w:cs="宋体"/>
          <w:color w:val="auto"/>
          <w:sz w:val="21"/>
          <w:szCs w:val="21"/>
          <w:highlight w:val="none"/>
          <w:lang w:val="en-US" w:eastAsia="zh-CN"/>
        </w:rPr>
        <w:t>3</w:t>
      </w:r>
      <w:r>
        <w:rPr>
          <w:rStyle w:val="39"/>
          <w:rFonts w:hint="eastAsia" w:hAnsi="宋体" w:cs="宋体"/>
          <w:color w:val="auto"/>
          <w:sz w:val="21"/>
          <w:szCs w:val="21"/>
          <w:highlight w:val="none"/>
          <w:lang w:eastAsia="zh-CN"/>
        </w:rPr>
        <w:t>.</w:t>
      </w:r>
      <w:r>
        <w:rPr>
          <w:rStyle w:val="39"/>
          <w:rFonts w:hint="eastAsia" w:ascii="宋体" w:hAnsi="宋体" w:eastAsia="宋体" w:cs="宋体"/>
          <w:color w:val="auto"/>
          <w:sz w:val="21"/>
          <w:szCs w:val="21"/>
          <w:highlight w:val="none"/>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第七章）。</w:t>
      </w:r>
    </w:p>
    <w:p>
      <w:pPr>
        <w:pStyle w:val="92"/>
        <w:keepNext w:val="0"/>
        <w:keepLines w:val="0"/>
        <w:pageBreakBefore w:val="0"/>
        <w:widowControl/>
        <w:kinsoku/>
        <w:wordWrap/>
        <w:overflowPunct/>
        <w:topLinePunct w:val="0"/>
        <w:autoSpaceDE/>
        <w:autoSpaceDN/>
        <w:bidi w:val="0"/>
        <w:adjustRightInd/>
        <w:snapToGrid w:val="0"/>
        <w:spacing w:line="360" w:lineRule="auto"/>
        <w:ind w:left="0" w:firstLine="52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val="en-US" w:eastAsia="zh-CN"/>
        </w:rPr>
        <w:t>4</w:t>
      </w: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color w:val="auto"/>
          <w:sz w:val="21"/>
          <w:szCs w:val="21"/>
          <w:highlight w:val="none"/>
        </w:rPr>
        <w:t>投标供应商须提供参与本次项目</w:t>
      </w:r>
      <w:r>
        <w:rPr>
          <w:rStyle w:val="39"/>
          <w:rFonts w:hint="eastAsia" w:ascii="宋体" w:hAnsi="宋体" w:eastAsia="宋体" w:cs="宋体"/>
          <w:color w:val="auto"/>
          <w:sz w:val="21"/>
          <w:szCs w:val="21"/>
          <w:highlight w:val="none"/>
          <w:lang w:eastAsia="zh-CN"/>
        </w:rPr>
        <w:t>采购活动</w:t>
      </w:r>
      <w:r>
        <w:rPr>
          <w:rStyle w:val="39"/>
          <w:rFonts w:hint="eastAsia" w:ascii="宋体" w:hAnsi="宋体" w:eastAsia="宋体" w:cs="宋体"/>
          <w:color w:val="auto"/>
          <w:sz w:val="21"/>
          <w:szCs w:val="21"/>
          <w:highlight w:val="none"/>
        </w:rPr>
        <w:t>前三年内，在经营活动中没有重大违法记录的书面《无重大违法记录声明函》（格式参见第七章）。</w:t>
      </w:r>
    </w:p>
    <w:p>
      <w:pPr>
        <w:pStyle w:val="92"/>
        <w:keepNext w:val="0"/>
        <w:keepLines w:val="0"/>
        <w:pageBreakBefore w:val="0"/>
        <w:widowControl/>
        <w:kinsoku/>
        <w:wordWrap/>
        <w:overflowPunct/>
        <w:topLinePunct w:val="0"/>
        <w:autoSpaceDE/>
        <w:autoSpaceDN/>
        <w:bidi w:val="0"/>
        <w:adjustRightInd/>
        <w:snapToGrid w:val="0"/>
        <w:spacing w:line="360" w:lineRule="auto"/>
        <w:ind w:left="0" w:firstLine="52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val="en-US" w:eastAsia="zh-CN"/>
        </w:rPr>
        <w:t>5</w:t>
      </w: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color w:val="auto"/>
          <w:sz w:val="21"/>
          <w:szCs w:val="21"/>
          <w:highlight w:val="none"/>
        </w:rPr>
        <w:t>关于资格文件的声明函（格式参见第七章）。</w:t>
      </w:r>
    </w:p>
    <w:p>
      <w:pPr>
        <w:pStyle w:val="92"/>
        <w:keepNext w:val="0"/>
        <w:keepLines w:val="0"/>
        <w:pageBreakBefore w:val="0"/>
        <w:widowControl/>
        <w:kinsoku/>
        <w:wordWrap/>
        <w:overflowPunct/>
        <w:topLinePunct w:val="0"/>
        <w:autoSpaceDE/>
        <w:autoSpaceDN/>
        <w:bidi w:val="0"/>
        <w:adjustRightInd/>
        <w:snapToGrid w:val="0"/>
        <w:spacing w:line="360" w:lineRule="auto"/>
        <w:ind w:left="0" w:firstLine="522"/>
        <w:textAlignment w:val="baseline"/>
        <w:rPr>
          <w:rStyle w:val="39"/>
          <w:rFonts w:hint="eastAsia" w:ascii="宋体" w:hAnsi="宋体" w:eastAsia="宋体" w:cs="宋体"/>
          <w:b/>
          <w:color w:val="auto"/>
          <w:sz w:val="21"/>
          <w:szCs w:val="21"/>
          <w:highlight w:val="none"/>
          <w:u w:val="single"/>
        </w:rPr>
      </w:pPr>
      <w:r>
        <w:rPr>
          <w:rStyle w:val="39"/>
          <w:rFonts w:hint="eastAsia" w:ascii="宋体" w:hAnsi="宋体" w:eastAsia="宋体" w:cs="宋体"/>
          <w:b/>
          <w:color w:val="auto"/>
          <w:sz w:val="21"/>
          <w:szCs w:val="21"/>
          <w:highlight w:val="none"/>
          <w:u w:val="single" w:color="000000"/>
        </w:rPr>
        <w:t>具体详见本招标文件《第七章 投标文件组成及格式》中的资格审查文件要求。</w:t>
      </w:r>
    </w:p>
    <w:p>
      <w:pPr>
        <w:pStyle w:val="92"/>
        <w:keepNext w:val="0"/>
        <w:keepLines w:val="0"/>
        <w:pageBreakBefore w:val="0"/>
        <w:widowControl/>
        <w:kinsoku/>
        <w:wordWrap/>
        <w:overflowPunct/>
        <w:topLinePunct w:val="0"/>
        <w:autoSpaceDE/>
        <w:autoSpaceDN/>
        <w:bidi w:val="0"/>
        <w:adjustRightInd/>
        <w:snapToGrid w:val="0"/>
        <w:spacing w:line="360" w:lineRule="auto"/>
        <w:ind w:left="0" w:firstLine="522"/>
        <w:textAlignment w:val="baseline"/>
        <w:rPr>
          <w:rStyle w:val="39"/>
          <w:rFonts w:hint="eastAsia" w:ascii="宋体" w:hAnsi="宋体" w:eastAsia="宋体" w:cs="宋体"/>
          <w:b/>
          <w:color w:val="auto"/>
          <w:sz w:val="21"/>
          <w:szCs w:val="21"/>
          <w:highlight w:val="none"/>
          <w:u w:val="single"/>
        </w:rPr>
      </w:pPr>
      <w:r>
        <w:rPr>
          <w:rStyle w:val="39"/>
          <w:rFonts w:hint="eastAsia" w:ascii="宋体" w:hAnsi="宋体" w:eastAsia="宋体" w:cs="宋体"/>
          <w:b/>
          <w:color w:val="auto"/>
          <w:sz w:val="21"/>
          <w:szCs w:val="21"/>
          <w:highlight w:val="none"/>
          <w:u w:val="single" w:color="000000"/>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
          <w:bCs/>
          <w:color w:val="auto"/>
          <w:sz w:val="21"/>
          <w:szCs w:val="21"/>
          <w:highlight w:val="none"/>
        </w:rPr>
      </w:pPr>
      <w:r>
        <w:rPr>
          <w:rStyle w:val="39"/>
          <w:rFonts w:hint="eastAsia" w:ascii="宋体" w:hAnsi="宋体" w:eastAsia="宋体" w:cs="宋体"/>
          <w:b/>
          <w:bCs/>
          <w:color w:val="auto"/>
          <w:sz w:val="21"/>
          <w:szCs w:val="21"/>
          <w:highlight w:val="none"/>
        </w:rPr>
        <w:t>三、获取采购文件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eastAsia="zh-CN"/>
        </w:rPr>
        <w:t>1.</w:t>
      </w:r>
      <w:r>
        <w:rPr>
          <w:rStyle w:val="39"/>
          <w:rFonts w:hint="eastAsia" w:ascii="宋体" w:hAnsi="宋体" w:eastAsia="宋体" w:cs="宋体"/>
          <w:color w:val="auto"/>
          <w:sz w:val="21"/>
          <w:szCs w:val="21"/>
          <w:highlight w:val="none"/>
        </w:rPr>
        <w:t>地点：</w:t>
      </w:r>
      <w:r>
        <w:rPr>
          <w:rStyle w:val="39"/>
          <w:rFonts w:hint="eastAsia" w:ascii="宋体" w:hAnsi="宋体" w:eastAsia="宋体" w:cs="宋体"/>
          <w:color w:val="auto"/>
          <w:sz w:val="21"/>
          <w:szCs w:val="21"/>
          <w:highlight w:val="none"/>
          <w:lang w:eastAsia="zh-CN"/>
        </w:rPr>
        <w:t>南通市文化广电和旅游局-政府采购栏、南通博物苑-资讯-招标信息栏</w:t>
      </w:r>
      <w:r>
        <w:rPr>
          <w:rStyle w:val="39"/>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val="en-US" w:eastAsia="zh-CN"/>
        </w:rPr>
        <w:t>2</w:t>
      </w: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color w:val="auto"/>
          <w:sz w:val="21"/>
          <w:szCs w:val="21"/>
          <w:highlight w:val="none"/>
        </w:rPr>
        <w:t>方式：</w:t>
      </w:r>
      <w:r>
        <w:rPr>
          <w:rStyle w:val="39"/>
          <w:rFonts w:hint="default" w:ascii="宋体" w:hAnsi="宋体" w:eastAsia="宋体" w:cs="宋体"/>
          <w:color w:val="auto"/>
          <w:sz w:val="21"/>
          <w:szCs w:val="21"/>
          <w:highlight w:val="none"/>
        </w:rPr>
        <w:t>自行下载</w:t>
      </w:r>
      <w:r>
        <w:rPr>
          <w:rStyle w:val="39"/>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val="en-US" w:eastAsia="zh-CN"/>
        </w:rPr>
        <w:t>3</w:t>
      </w: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color w:val="auto"/>
          <w:sz w:val="21"/>
          <w:szCs w:val="21"/>
          <w:highlight w:val="none"/>
        </w:rPr>
        <w:t>有关本次招标的事项若存在变动或修改，敬请及时关注“</w:t>
      </w:r>
      <w:r>
        <w:rPr>
          <w:rStyle w:val="39"/>
          <w:rFonts w:hint="eastAsia" w:ascii="宋体" w:hAnsi="宋体" w:eastAsia="宋体" w:cs="宋体"/>
          <w:b/>
          <w:bCs/>
          <w:color w:val="auto"/>
          <w:sz w:val="21"/>
          <w:szCs w:val="21"/>
          <w:highlight w:val="none"/>
          <w:lang w:eastAsia="zh-CN"/>
        </w:rPr>
        <w:t>南通市文化广电和旅游局-政府采购栏、南通博物苑-资讯-招标信息栏</w:t>
      </w:r>
      <w:r>
        <w:rPr>
          <w:rStyle w:val="39"/>
          <w:rFonts w:hint="eastAsia" w:ascii="宋体" w:hAnsi="宋体" w:eastAsia="宋体" w:cs="宋体"/>
          <w:color w:val="auto"/>
          <w:sz w:val="21"/>
          <w:szCs w:val="21"/>
          <w:highlight w:val="none"/>
        </w:rPr>
        <w:t>”发布的信息</w:t>
      </w:r>
      <w:r>
        <w:rPr>
          <w:rStyle w:val="39"/>
          <w:rFonts w:hint="eastAsia" w:ascii="宋体" w:hAnsi="宋体" w:eastAsia="宋体" w:cs="宋体"/>
          <w:color w:val="auto"/>
          <w:sz w:val="21"/>
          <w:szCs w:val="21"/>
          <w:highlight w:val="none"/>
          <w:lang w:eastAsia="zh-CN"/>
        </w:rPr>
        <w:t>更正公告</w:t>
      </w:r>
      <w:r>
        <w:rPr>
          <w:rStyle w:val="39"/>
          <w:rFonts w:hint="eastAsia" w:ascii="宋体" w:hAnsi="宋体" w:eastAsia="宋体" w:cs="宋体"/>
          <w:color w:val="auto"/>
          <w:sz w:val="21"/>
          <w:szCs w:val="21"/>
          <w:highlight w:val="none"/>
        </w:rPr>
        <w:t>，恕不另行通知，如有遗漏招标采购单位概不负责。</w:t>
      </w:r>
    </w:p>
    <w:p>
      <w:pPr>
        <w:pStyle w:val="92"/>
        <w:keepNext w:val="0"/>
        <w:keepLines w:val="0"/>
        <w:pageBreakBefore w:val="0"/>
        <w:widowControl/>
        <w:kinsoku/>
        <w:wordWrap/>
        <w:overflowPunct/>
        <w:topLinePunct w:val="0"/>
        <w:autoSpaceDE/>
        <w:autoSpaceDN/>
        <w:bidi w:val="0"/>
        <w:adjustRightInd/>
        <w:snapToGrid w:val="0"/>
        <w:spacing w:line="360" w:lineRule="auto"/>
        <w:ind w:left="0" w:firstLine="522"/>
        <w:textAlignment w:val="baseline"/>
        <w:rPr>
          <w:rStyle w:val="39"/>
          <w:rFonts w:hint="eastAsia" w:ascii="宋体" w:hAnsi="宋体" w:eastAsia="宋体" w:cs="宋体"/>
          <w:b/>
          <w:color w:val="auto"/>
          <w:sz w:val="21"/>
          <w:szCs w:val="21"/>
          <w:highlight w:val="none"/>
        </w:rPr>
      </w:pPr>
      <w:r>
        <w:rPr>
          <w:rStyle w:val="39"/>
          <w:rFonts w:hint="eastAsia" w:ascii="宋体" w:hAnsi="宋体" w:eastAsia="宋体" w:cs="宋体"/>
          <w:b/>
          <w:color w:val="auto"/>
          <w:sz w:val="21"/>
          <w:szCs w:val="21"/>
          <w:highlight w:val="none"/>
        </w:rPr>
        <w:t>四、提交投标文件截止时间、开标时间和地点</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b w:val="0"/>
          <w:bCs/>
          <w:color w:val="auto"/>
          <w:sz w:val="21"/>
          <w:szCs w:val="21"/>
          <w:highlight w:val="none"/>
          <w:lang w:val="en-US" w:eastAsia="zh-CN"/>
        </w:rPr>
        <w:t>1.</w:t>
      </w:r>
      <w:r>
        <w:rPr>
          <w:rStyle w:val="39"/>
          <w:rFonts w:hint="eastAsia" w:ascii="宋体" w:hAnsi="宋体" w:eastAsia="宋体" w:cs="宋体"/>
          <w:b w:val="0"/>
          <w:bCs/>
          <w:color w:val="auto"/>
          <w:sz w:val="21"/>
          <w:szCs w:val="21"/>
          <w:highlight w:val="none"/>
        </w:rPr>
        <w:t>提交投标文件截止时间、开标时间：</w:t>
      </w:r>
      <w:r>
        <w:rPr>
          <w:rStyle w:val="39"/>
          <w:rFonts w:hint="eastAsia" w:ascii="宋体" w:hAnsi="宋体" w:eastAsia="宋体" w:cs="宋体"/>
          <w:b/>
          <w:color w:val="auto"/>
          <w:sz w:val="21"/>
          <w:szCs w:val="21"/>
          <w:highlight w:val="none"/>
          <w:lang w:eastAsia="zh-CN"/>
        </w:rPr>
        <w:t>2025年</w:t>
      </w:r>
      <w:r>
        <w:rPr>
          <w:rStyle w:val="39"/>
          <w:rFonts w:hint="eastAsia" w:ascii="宋体" w:hAnsi="宋体" w:eastAsia="宋体" w:cs="宋体"/>
          <w:b/>
          <w:color w:val="auto"/>
          <w:sz w:val="21"/>
          <w:szCs w:val="21"/>
          <w:highlight w:val="none"/>
          <w:lang w:val="en-US" w:eastAsia="zh-CN"/>
        </w:rPr>
        <w:t>7</w:t>
      </w:r>
      <w:r>
        <w:rPr>
          <w:rStyle w:val="39"/>
          <w:rFonts w:hint="eastAsia" w:ascii="宋体" w:hAnsi="宋体" w:eastAsia="宋体" w:cs="宋体"/>
          <w:b/>
          <w:color w:val="auto"/>
          <w:sz w:val="21"/>
          <w:szCs w:val="21"/>
          <w:highlight w:val="none"/>
          <w:lang w:eastAsia="zh-CN"/>
        </w:rPr>
        <w:t>月</w:t>
      </w:r>
      <w:r>
        <w:rPr>
          <w:rStyle w:val="39"/>
          <w:rFonts w:hint="eastAsia" w:ascii="宋体" w:hAnsi="宋体" w:eastAsia="宋体" w:cs="宋体"/>
          <w:b/>
          <w:color w:val="auto"/>
          <w:sz w:val="21"/>
          <w:szCs w:val="21"/>
          <w:highlight w:val="none"/>
          <w:lang w:val="en-US" w:eastAsia="zh-CN"/>
        </w:rPr>
        <w:t>15</w:t>
      </w:r>
      <w:r>
        <w:rPr>
          <w:rStyle w:val="39"/>
          <w:rFonts w:hint="eastAsia" w:ascii="宋体" w:hAnsi="宋体" w:eastAsia="宋体" w:cs="宋体"/>
          <w:b/>
          <w:color w:val="auto"/>
          <w:sz w:val="21"/>
          <w:szCs w:val="21"/>
          <w:highlight w:val="none"/>
          <w:lang w:eastAsia="zh-CN"/>
        </w:rPr>
        <w:t>日</w:t>
      </w:r>
      <w:r>
        <w:rPr>
          <w:rStyle w:val="39"/>
          <w:rFonts w:hint="eastAsia" w:ascii="宋体" w:hAnsi="宋体" w:eastAsia="宋体" w:cs="宋体"/>
          <w:b/>
          <w:color w:val="auto"/>
          <w:sz w:val="21"/>
          <w:szCs w:val="21"/>
          <w:highlight w:val="none"/>
          <w:lang w:val="en-US" w:eastAsia="zh-CN"/>
        </w:rPr>
        <w:t>09</w:t>
      </w:r>
      <w:r>
        <w:rPr>
          <w:rStyle w:val="39"/>
          <w:rFonts w:hint="eastAsia" w:ascii="宋体" w:hAnsi="宋体" w:eastAsia="宋体" w:cs="宋体"/>
          <w:b/>
          <w:color w:val="auto"/>
          <w:sz w:val="21"/>
          <w:szCs w:val="21"/>
          <w:highlight w:val="none"/>
          <w:lang w:eastAsia="zh-CN"/>
        </w:rPr>
        <w:t>时30分</w:t>
      </w:r>
      <w:r>
        <w:rPr>
          <w:rStyle w:val="39"/>
          <w:rFonts w:hint="eastAsia" w:ascii="宋体" w:hAnsi="宋体" w:eastAsia="宋体" w:cs="宋体"/>
          <w:b/>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b w:val="0"/>
          <w:bCs/>
          <w:color w:val="auto"/>
          <w:sz w:val="21"/>
          <w:szCs w:val="21"/>
          <w:highlight w:val="none"/>
          <w:lang w:val="en-US" w:eastAsia="zh-CN"/>
        </w:rPr>
        <w:t>2.</w:t>
      </w:r>
      <w:r>
        <w:rPr>
          <w:rStyle w:val="39"/>
          <w:rFonts w:hint="eastAsia" w:ascii="宋体" w:hAnsi="宋体" w:eastAsia="宋体" w:cs="宋体"/>
          <w:b w:val="0"/>
          <w:bCs/>
          <w:color w:val="auto"/>
          <w:sz w:val="21"/>
          <w:szCs w:val="21"/>
          <w:highlight w:val="none"/>
        </w:rPr>
        <w:t>地点</w:t>
      </w:r>
      <w:r>
        <w:rPr>
          <w:rStyle w:val="39"/>
          <w:rFonts w:hint="eastAsia" w:ascii="宋体" w:hAnsi="宋体" w:eastAsia="宋体" w:cs="宋体"/>
          <w:b w:val="0"/>
          <w:bCs/>
          <w:color w:val="auto"/>
          <w:sz w:val="21"/>
          <w:szCs w:val="21"/>
          <w:highlight w:val="none"/>
          <w:lang w:eastAsia="zh-CN"/>
        </w:rPr>
        <w:t>：</w:t>
      </w:r>
      <w:r>
        <w:rPr>
          <w:rStyle w:val="39"/>
          <w:rFonts w:hint="eastAsia" w:ascii="宋体" w:hAnsi="宋体" w:eastAsia="宋体" w:cs="宋体"/>
          <w:color w:val="auto"/>
          <w:sz w:val="21"/>
          <w:szCs w:val="21"/>
          <w:highlight w:val="none"/>
        </w:rPr>
        <w:t>南通市行政中心综合楼</w:t>
      </w:r>
      <w:r>
        <w:rPr>
          <w:rStyle w:val="39"/>
          <w:rFonts w:hint="eastAsia" w:ascii="宋体" w:hAnsi="宋体" w:eastAsia="宋体" w:cs="宋体"/>
          <w:color w:val="auto"/>
          <w:sz w:val="21"/>
          <w:szCs w:val="21"/>
          <w:highlight w:val="none"/>
          <w:lang w:val="en-US" w:eastAsia="zh-CN"/>
        </w:rPr>
        <w:t>538</w:t>
      </w:r>
      <w:r>
        <w:rPr>
          <w:rStyle w:val="39"/>
          <w:rFonts w:hint="eastAsia" w:ascii="宋体" w:hAnsi="宋体" w:eastAsia="宋体" w:cs="宋体"/>
          <w:color w:val="auto"/>
          <w:sz w:val="21"/>
          <w:szCs w:val="21"/>
          <w:highlight w:val="none"/>
        </w:rPr>
        <w:t>会议室（南通市崇川区世纪大道6号），如有变动另行通知。</w:t>
      </w:r>
    </w:p>
    <w:p>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
          <w:bCs/>
          <w:color w:val="auto"/>
          <w:sz w:val="21"/>
          <w:szCs w:val="21"/>
          <w:highlight w:val="none"/>
        </w:rPr>
      </w:pPr>
      <w:r>
        <w:rPr>
          <w:rStyle w:val="39"/>
          <w:rFonts w:hint="eastAsia" w:ascii="宋体" w:hAnsi="宋体" w:eastAsia="宋体" w:cs="宋体"/>
          <w:b/>
          <w:bCs/>
          <w:color w:val="auto"/>
          <w:sz w:val="21"/>
          <w:szCs w:val="21"/>
          <w:highlight w:val="none"/>
          <w:lang w:val="en-US" w:eastAsia="zh-CN"/>
        </w:rPr>
        <w:t>五、</w:t>
      </w:r>
      <w:bookmarkStart w:id="0" w:name="_Toc28359084"/>
      <w:bookmarkStart w:id="1" w:name="_Toc35393794"/>
      <w:bookmarkStart w:id="2" w:name="_Toc28359007"/>
      <w:bookmarkStart w:id="3" w:name="_Toc35393625"/>
      <w:r>
        <w:rPr>
          <w:rStyle w:val="39"/>
          <w:rFonts w:hint="eastAsia" w:ascii="宋体" w:hAnsi="宋体" w:eastAsia="宋体" w:cs="宋体"/>
          <w:b/>
          <w:bCs/>
          <w:color w:val="auto"/>
          <w:sz w:val="21"/>
          <w:szCs w:val="21"/>
          <w:highlight w:val="none"/>
        </w:rPr>
        <w:t>公告期限</w:t>
      </w:r>
      <w:bookmarkEnd w:id="0"/>
      <w:bookmarkEnd w:id="1"/>
      <w:bookmarkEnd w:id="2"/>
      <w:bookmarkEnd w:id="3"/>
    </w:p>
    <w:p>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
          <w:bCs/>
          <w:color w:val="auto"/>
          <w:sz w:val="21"/>
          <w:szCs w:val="21"/>
          <w:highlight w:val="none"/>
          <w:lang w:val="en-US" w:eastAsia="zh-CN"/>
        </w:rPr>
      </w:pPr>
      <w:r>
        <w:rPr>
          <w:rStyle w:val="39"/>
          <w:rFonts w:hint="eastAsia" w:ascii="宋体" w:hAnsi="宋体" w:eastAsia="宋体" w:cs="宋体"/>
          <w:b w:val="0"/>
          <w:bCs w:val="0"/>
          <w:color w:val="auto"/>
          <w:sz w:val="21"/>
          <w:szCs w:val="21"/>
          <w:highlight w:val="none"/>
        </w:rPr>
        <w:t>自本公告发布之日起5个工作日。</w:t>
      </w:r>
    </w:p>
    <w:p>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
          <w:bCs/>
          <w:color w:val="auto"/>
          <w:sz w:val="21"/>
          <w:szCs w:val="21"/>
          <w:highlight w:val="none"/>
          <w:lang w:eastAsia="zh-CN"/>
        </w:rPr>
      </w:pPr>
      <w:bookmarkStart w:id="4" w:name="_Toc35393795"/>
      <w:bookmarkStart w:id="5" w:name="_Toc35393626"/>
      <w:r>
        <w:rPr>
          <w:rStyle w:val="39"/>
          <w:rFonts w:hint="eastAsia" w:ascii="宋体" w:hAnsi="宋体" w:eastAsia="宋体" w:cs="宋体"/>
          <w:b/>
          <w:bCs/>
          <w:color w:val="auto"/>
          <w:sz w:val="21"/>
          <w:szCs w:val="21"/>
          <w:highlight w:val="none"/>
        </w:rPr>
        <w:t>六、其他补充事宜</w:t>
      </w:r>
      <w:bookmarkEnd w:id="4"/>
      <w:bookmarkEnd w:id="5"/>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val="en-US" w:eastAsia="zh-CN"/>
        </w:rPr>
        <w:t>1</w:t>
      </w: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color w:val="auto"/>
          <w:sz w:val="21"/>
          <w:szCs w:val="21"/>
          <w:highlight w:val="none"/>
        </w:rPr>
        <w:t>潜在供应商在获取本次招标采购文件后，认真阅读各项内容。有意愿参与本项目投标的供应商须进行必要准备工作，按招标文件的要求详细填写和编制</w:t>
      </w:r>
      <w:r>
        <w:rPr>
          <w:rStyle w:val="39"/>
          <w:rFonts w:hint="eastAsia" w:ascii="宋体" w:hAnsi="宋体" w:eastAsia="宋体" w:cs="宋体"/>
          <w:color w:val="auto"/>
          <w:sz w:val="21"/>
          <w:szCs w:val="21"/>
          <w:highlight w:val="none"/>
          <w:lang w:val="en-US" w:eastAsia="zh-CN"/>
        </w:rPr>
        <w:t>投标</w:t>
      </w:r>
      <w:r>
        <w:rPr>
          <w:rStyle w:val="39"/>
          <w:rFonts w:hint="eastAsia" w:ascii="宋体" w:hAnsi="宋体" w:eastAsia="宋体" w:cs="宋体"/>
          <w:color w:val="auto"/>
          <w:sz w:val="21"/>
          <w:szCs w:val="21"/>
          <w:highlight w:val="none"/>
        </w:rPr>
        <w:t>文件，并按招标文件确定的时间、地点准时参加本项目的招标采购活动。</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val="en-US" w:eastAsia="zh-CN"/>
        </w:rPr>
        <w:t>2</w:t>
      </w: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color w:val="auto"/>
          <w:sz w:val="21"/>
          <w:szCs w:val="21"/>
          <w:highlight w:val="none"/>
        </w:rPr>
        <w:t>供应商应依照规定提交各类声明函、承诺函，不再同时提供原件备查或提供有关部门出具的相关证明文件。但中标</w:t>
      </w:r>
      <w:r>
        <w:rPr>
          <w:rStyle w:val="39"/>
          <w:rFonts w:hint="eastAsia" w:ascii="宋体" w:hAnsi="宋体" w:eastAsia="宋体" w:cs="宋体"/>
          <w:color w:val="auto"/>
          <w:sz w:val="21"/>
          <w:szCs w:val="21"/>
          <w:highlight w:val="none"/>
          <w:lang w:val="en-US" w:eastAsia="zh-CN"/>
        </w:rPr>
        <w:t>后</w:t>
      </w:r>
      <w:r>
        <w:rPr>
          <w:rStyle w:val="39"/>
          <w:rFonts w:hint="eastAsia" w:ascii="宋体" w:hAnsi="宋体" w:eastAsia="宋体" w:cs="宋体"/>
          <w:color w:val="auto"/>
          <w:sz w:val="21"/>
          <w:szCs w:val="21"/>
          <w:highlight w:val="none"/>
        </w:rPr>
        <w:t>中标单位，应做好提交声明函、承诺函相应原件的核查准备；核查后发现虚假或违背承诺的，依照相关法律法规规定处理。</w:t>
      </w:r>
      <w:bookmarkStart w:id="8" w:name="_GoBack"/>
      <w:bookmarkEnd w:id="8"/>
    </w:p>
    <w:p>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0" w:firstLineChars="200"/>
        <w:textAlignment w:val="baseline"/>
        <w:rPr>
          <w:rStyle w:val="39"/>
          <w:rFonts w:hint="eastAsia" w:ascii="宋体" w:hAnsi="宋体" w:eastAsia="宋体" w:cs="宋体"/>
          <w:b/>
          <w:bCs/>
          <w:color w:val="auto"/>
          <w:sz w:val="21"/>
          <w:szCs w:val="21"/>
          <w:highlight w:val="none"/>
        </w:rPr>
      </w:pPr>
      <w:r>
        <w:rPr>
          <w:rStyle w:val="39"/>
          <w:rFonts w:hint="eastAsia" w:ascii="宋体" w:hAnsi="宋体" w:eastAsia="宋体" w:cs="宋体"/>
          <w:b/>
          <w:bCs/>
          <w:color w:val="auto"/>
          <w:sz w:val="21"/>
          <w:szCs w:val="21"/>
          <w:highlight w:val="none"/>
          <w:lang w:val="en-US" w:eastAsia="zh-CN"/>
        </w:rPr>
        <w:t>七</w:t>
      </w:r>
      <w:r>
        <w:rPr>
          <w:rStyle w:val="39"/>
          <w:rFonts w:hint="eastAsia" w:ascii="宋体" w:hAnsi="宋体" w:eastAsia="宋体" w:cs="宋体"/>
          <w:b/>
          <w:bCs/>
          <w:color w:val="auto"/>
          <w:sz w:val="21"/>
          <w:szCs w:val="21"/>
          <w:highlight w:val="none"/>
        </w:rPr>
        <w:t>、对本次招标提出询问，请按以下方式联系</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eastAsia="zh-CN"/>
        </w:rPr>
        <w:t>1.</w:t>
      </w:r>
      <w:r>
        <w:rPr>
          <w:rStyle w:val="39"/>
          <w:rFonts w:hint="eastAsia" w:ascii="宋体" w:hAnsi="宋体" w:eastAsia="宋体" w:cs="宋体"/>
          <w:color w:val="auto"/>
          <w:sz w:val="21"/>
          <w:szCs w:val="21"/>
          <w:highlight w:val="none"/>
        </w:rPr>
        <w:t>采购人信息</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rPr>
        <w:t>名称：</w:t>
      </w:r>
      <w:r>
        <w:rPr>
          <w:rStyle w:val="39"/>
          <w:rFonts w:hint="eastAsia" w:ascii="宋体" w:hAnsi="宋体" w:eastAsia="宋体" w:cs="宋体"/>
          <w:color w:val="auto"/>
          <w:sz w:val="21"/>
          <w:szCs w:val="21"/>
          <w:highlight w:val="none"/>
          <w:lang w:eastAsia="zh-CN"/>
        </w:rPr>
        <w:t>南通博物苑；</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rPr>
        <w:t>地址：</w:t>
      </w:r>
      <w:r>
        <w:rPr>
          <w:rStyle w:val="39"/>
          <w:rFonts w:hint="eastAsia" w:ascii="宋体" w:hAnsi="宋体" w:eastAsia="宋体" w:cs="宋体"/>
          <w:color w:val="auto"/>
          <w:sz w:val="21"/>
          <w:szCs w:val="21"/>
          <w:highlight w:val="none"/>
          <w:lang w:eastAsia="zh-CN"/>
        </w:rPr>
        <w:t>江苏省南通市崇川区濠南路19号；</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 xml:space="preserve">联系方式：0513-85062508。 </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2.主管部门</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名称：南通市文化广电和旅游局</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地址：南通市崇川区世纪大道6号</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联系方式：0513-85099576</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lang w:eastAsia="zh-CN"/>
        </w:rPr>
        <w:t>3.</w:t>
      </w:r>
      <w:r>
        <w:rPr>
          <w:rStyle w:val="39"/>
          <w:rFonts w:hint="eastAsia" w:ascii="宋体" w:hAnsi="宋体" w:eastAsia="宋体" w:cs="宋体"/>
          <w:color w:val="auto"/>
          <w:sz w:val="21"/>
          <w:szCs w:val="21"/>
          <w:highlight w:val="none"/>
        </w:rPr>
        <w:t>采购代理机构信息</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rPr>
        <w:t>名称：江苏正扬招标代理有限公司</w:t>
      </w:r>
      <w:r>
        <w:rPr>
          <w:rStyle w:val="39"/>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rPr>
        <w:t>地址：南通市崇川区青年中路153号4号楼213室</w:t>
      </w:r>
      <w:r>
        <w:rPr>
          <w:rStyle w:val="39"/>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rPr>
        <w:t>联系电话：</w:t>
      </w:r>
      <w:r>
        <w:rPr>
          <w:rStyle w:val="39"/>
          <w:rFonts w:hint="eastAsia" w:ascii="宋体" w:hAnsi="宋体" w:eastAsia="宋体" w:cs="宋体"/>
          <w:color w:val="auto"/>
          <w:sz w:val="21"/>
          <w:szCs w:val="21"/>
          <w:highlight w:val="none"/>
          <w:lang w:eastAsia="zh-CN"/>
        </w:rPr>
        <w:t>0513-85991998。</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4.项目联系方式：</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 xml:space="preserve">联系人：李艳梅；     </w:t>
      </w:r>
    </w:p>
    <w:p>
      <w:pPr>
        <w:keepNext w:val="0"/>
        <w:keepLines w:val="0"/>
        <w:pageBreakBefore w:val="0"/>
        <w:widowControl/>
        <w:kinsoku/>
        <w:wordWrap/>
        <w:overflowPunct/>
        <w:topLinePunct w:val="0"/>
        <w:autoSpaceDE/>
        <w:autoSpaceDN/>
        <w:bidi w:val="0"/>
        <w:adjustRightInd/>
        <w:snapToGrid w:val="0"/>
        <w:spacing w:line="360" w:lineRule="auto"/>
        <w:ind w:left="520" w:leftChars="200"/>
        <w:textAlignment w:val="baseline"/>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t>联系电话：0513-85991998。</w:t>
      </w:r>
    </w:p>
    <w:p>
      <w:pPr>
        <w:rPr>
          <w:rStyle w:val="39"/>
          <w:rFonts w:hint="eastAsia" w:ascii="宋体" w:hAnsi="宋体" w:eastAsia="宋体" w:cs="宋体"/>
          <w:color w:val="auto"/>
          <w:sz w:val="21"/>
          <w:szCs w:val="21"/>
          <w:highlight w:val="none"/>
          <w:lang w:eastAsia="zh-CN"/>
        </w:rPr>
      </w:pPr>
      <w:r>
        <w:rPr>
          <w:rStyle w:val="39"/>
          <w:rFonts w:hint="eastAsia" w:ascii="宋体" w:hAnsi="宋体" w:eastAsia="宋体" w:cs="宋体"/>
          <w:color w:val="auto"/>
          <w:sz w:val="21"/>
          <w:szCs w:val="21"/>
          <w:highlight w:val="none"/>
          <w:lang w:eastAsia="zh-CN"/>
        </w:rPr>
        <w:br w:type="page"/>
      </w:r>
    </w:p>
    <w:p>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Style w:val="39"/>
          <w:rFonts w:hint="eastAsia" w:ascii="宋体" w:hAnsi="宋体" w:eastAsia="宋体" w:cs="宋体"/>
          <w:b/>
          <w:color w:val="auto"/>
          <w:sz w:val="36"/>
          <w:szCs w:val="36"/>
          <w:highlight w:val="none"/>
        </w:rPr>
      </w:pPr>
      <w:r>
        <w:rPr>
          <w:rStyle w:val="39"/>
          <w:rFonts w:hint="eastAsia" w:ascii="宋体" w:hAnsi="宋体" w:eastAsia="宋体" w:cs="宋体"/>
          <w:b/>
          <w:color w:val="auto"/>
          <w:w w:val="80"/>
          <w:kern w:val="44"/>
          <w:sz w:val="36"/>
          <w:szCs w:val="36"/>
          <w:highlight w:val="none"/>
        </w:rPr>
        <w:t>第二章  投标供应商须知</w:t>
      </w:r>
    </w:p>
    <w:p>
      <w:pPr>
        <w:snapToGrid w:val="0"/>
        <w:spacing w:line="500" w:lineRule="exact"/>
        <w:ind w:firstLine="494" w:firstLineChars="206"/>
        <w:rPr>
          <w:rStyle w:val="39"/>
          <w:rFonts w:hint="eastAsia" w:ascii="宋体" w:hAnsi="宋体" w:eastAsia="宋体" w:cs="宋体"/>
          <w:b/>
          <w:bCs/>
          <w:color w:val="auto"/>
          <w:sz w:val="24"/>
          <w:szCs w:val="24"/>
          <w:highlight w:val="none"/>
          <w:lang w:val="en-US" w:eastAsia="zh-CN"/>
        </w:rPr>
      </w:pPr>
      <w:r>
        <w:rPr>
          <w:rStyle w:val="39"/>
          <w:rFonts w:hint="eastAsia" w:ascii="宋体" w:hAnsi="宋体" w:eastAsia="宋体" w:cs="宋体"/>
          <w:b/>
          <w:bCs/>
          <w:color w:val="auto"/>
          <w:sz w:val="24"/>
          <w:szCs w:val="24"/>
          <w:highlight w:val="none"/>
          <w:lang w:val="en-US" w:eastAsia="zh-CN"/>
        </w:rPr>
        <w:t>一、说明</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本招标文件仅适用于江苏正扬招标代理有限公司（以下称代理机构）组织的公开招标活动。</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公开招标活动及因本次招标产生的合同受中国法律制约和保护。</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招标文件的解释权属于代理机构。</w:t>
      </w:r>
    </w:p>
    <w:p>
      <w:pPr>
        <w:snapToGrid w:val="0"/>
        <w:spacing w:line="500" w:lineRule="exact"/>
        <w:ind w:firstLine="472" w:firstLineChars="200"/>
        <w:rPr>
          <w:rStyle w:val="39"/>
          <w:rFonts w:hint="eastAsia" w:ascii="宋体" w:hAnsi="宋体" w:eastAsia="宋体" w:cs="宋体"/>
          <w:b/>
          <w:bCs/>
          <w:color w:val="auto"/>
          <w:spacing w:val="-2"/>
          <w:sz w:val="24"/>
          <w:szCs w:val="24"/>
          <w:highlight w:val="none"/>
        </w:rPr>
      </w:pPr>
      <w:r>
        <w:rPr>
          <w:rStyle w:val="39"/>
          <w:rFonts w:hint="eastAsia" w:ascii="宋体" w:hAnsi="宋体" w:eastAsia="宋体" w:cs="宋体"/>
          <w:color w:val="auto"/>
          <w:spacing w:val="-2"/>
          <w:sz w:val="24"/>
          <w:szCs w:val="24"/>
          <w:highlight w:val="none"/>
          <w:lang w:eastAsia="zh-CN"/>
        </w:rPr>
        <w:t>4.</w:t>
      </w:r>
      <w:r>
        <w:rPr>
          <w:rFonts w:hint="eastAsia" w:ascii="宋体" w:hAnsi="宋体" w:eastAsia="宋体" w:cs="宋体"/>
          <w:color w:val="auto"/>
          <w:spacing w:val="-2"/>
          <w:sz w:val="24"/>
          <w:szCs w:val="24"/>
          <w:highlight w:val="none"/>
        </w:rPr>
        <w:t>投标供应商在知道或应当知道本项目</w:t>
      </w:r>
      <w:r>
        <w:rPr>
          <w:rFonts w:hint="eastAsia" w:ascii="宋体" w:hAnsi="宋体" w:eastAsia="宋体" w:cs="宋体"/>
          <w:color w:val="auto"/>
          <w:spacing w:val="-2"/>
          <w:sz w:val="24"/>
          <w:szCs w:val="24"/>
          <w:highlight w:val="none"/>
          <w:lang w:eastAsia="zh-CN"/>
        </w:rPr>
        <w:t>招标公告</w:t>
      </w:r>
      <w:r>
        <w:rPr>
          <w:rFonts w:hint="eastAsia" w:ascii="宋体" w:hAnsi="宋体" w:eastAsia="宋体" w:cs="宋体"/>
          <w:color w:val="auto"/>
          <w:spacing w:val="-2"/>
          <w:sz w:val="24"/>
          <w:szCs w:val="24"/>
          <w:highlight w:val="none"/>
        </w:rPr>
        <w:t>及招标文件中的所有内容：如内容或页码短缺、资格要求和技术参数出现倾向性或排他性等表述的，</w:t>
      </w:r>
      <w:r>
        <w:rPr>
          <w:rFonts w:hint="eastAsia" w:ascii="宋体" w:hAnsi="宋体" w:eastAsia="宋体" w:cs="宋体"/>
          <w:b/>
          <w:color w:val="auto"/>
          <w:spacing w:val="-2"/>
          <w:sz w:val="24"/>
          <w:szCs w:val="24"/>
          <w:highlight w:val="none"/>
        </w:rPr>
        <w:t>应在本项目</w:t>
      </w:r>
      <w:r>
        <w:rPr>
          <w:rFonts w:hint="eastAsia" w:ascii="宋体" w:hAnsi="宋体" w:eastAsia="宋体" w:cs="宋体"/>
          <w:b/>
          <w:color w:val="auto"/>
          <w:spacing w:val="-2"/>
          <w:sz w:val="24"/>
          <w:szCs w:val="24"/>
          <w:highlight w:val="none"/>
          <w:lang w:eastAsia="zh-CN"/>
        </w:rPr>
        <w:t>招标公告</w:t>
      </w:r>
      <w:r>
        <w:rPr>
          <w:rFonts w:hint="eastAsia" w:ascii="宋体" w:hAnsi="宋体" w:eastAsia="宋体" w:cs="宋体"/>
          <w:b/>
          <w:color w:val="auto"/>
          <w:spacing w:val="-2"/>
          <w:sz w:val="24"/>
          <w:szCs w:val="24"/>
          <w:highlight w:val="none"/>
        </w:rPr>
        <w:t>期限及期限届满之日后的7个工作日内提出询问或以书面实名制形式提出质疑</w:t>
      </w:r>
      <w:r>
        <w:rPr>
          <w:rFonts w:hint="eastAsia" w:ascii="宋体" w:hAnsi="宋体" w:eastAsia="宋体" w:cs="宋体"/>
          <w:color w:val="auto"/>
          <w:spacing w:val="-2"/>
          <w:sz w:val="24"/>
          <w:szCs w:val="24"/>
          <w:highlight w:val="none"/>
        </w:rPr>
        <w:t>；未提出询问、质疑或是未在规定期间内提出询问、质疑的，视作供应商接受本项目</w:t>
      </w:r>
      <w:r>
        <w:rPr>
          <w:rFonts w:hint="eastAsia" w:ascii="宋体" w:hAnsi="宋体" w:eastAsia="宋体" w:cs="宋体"/>
          <w:color w:val="auto"/>
          <w:spacing w:val="-2"/>
          <w:sz w:val="24"/>
          <w:szCs w:val="24"/>
          <w:highlight w:val="none"/>
          <w:lang w:eastAsia="zh-CN"/>
        </w:rPr>
        <w:t>招标公告</w:t>
      </w:r>
      <w:r>
        <w:rPr>
          <w:rFonts w:hint="eastAsia" w:ascii="宋体" w:hAnsi="宋体" w:eastAsia="宋体" w:cs="宋体"/>
          <w:color w:val="auto"/>
          <w:spacing w:val="-2"/>
          <w:sz w:val="24"/>
          <w:szCs w:val="24"/>
          <w:highlight w:val="none"/>
        </w:rPr>
        <w:t>及招标文件中的全部内容；投标供应商不得在招标活动期间及招标结束后针对本项目</w:t>
      </w:r>
      <w:r>
        <w:rPr>
          <w:rFonts w:hint="eastAsia" w:ascii="宋体" w:hAnsi="宋体" w:eastAsia="宋体" w:cs="宋体"/>
          <w:color w:val="auto"/>
          <w:spacing w:val="-2"/>
          <w:sz w:val="24"/>
          <w:szCs w:val="24"/>
          <w:highlight w:val="none"/>
          <w:lang w:eastAsia="zh-CN"/>
        </w:rPr>
        <w:t>招标公告</w:t>
      </w:r>
      <w:r>
        <w:rPr>
          <w:rFonts w:hint="eastAsia" w:ascii="宋体" w:hAnsi="宋体" w:eastAsia="宋体" w:cs="宋体"/>
          <w:color w:val="auto"/>
          <w:spacing w:val="-2"/>
          <w:sz w:val="24"/>
          <w:szCs w:val="24"/>
          <w:highlight w:val="none"/>
        </w:rPr>
        <w:t>及招标文件中的所有内容提出质疑、投诉。</w:t>
      </w:r>
      <w:r>
        <w:rPr>
          <w:rFonts w:hint="eastAsia" w:ascii="宋体" w:hAnsi="宋体" w:eastAsia="宋体" w:cs="宋体"/>
          <w:b/>
          <w:color w:val="auto"/>
          <w:spacing w:val="-2"/>
          <w:sz w:val="24"/>
          <w:szCs w:val="24"/>
          <w:highlight w:val="none"/>
          <w:lang w:val="en-US" w:eastAsia="zh-CN"/>
        </w:rPr>
        <w:t>供应商须在法定质疑期内一次性提出针对同一采购程序环节的质疑。</w:t>
      </w:r>
      <w:r>
        <w:rPr>
          <w:rFonts w:hint="eastAsia" w:ascii="宋体" w:hAnsi="宋体" w:eastAsia="宋体" w:cs="宋体"/>
          <w:b/>
          <w:color w:val="auto"/>
          <w:spacing w:val="-2"/>
          <w:sz w:val="24"/>
          <w:szCs w:val="24"/>
          <w:highlight w:val="none"/>
        </w:rPr>
        <w:t>非书面形式的不作为日后质疑提出的依据</w:t>
      </w:r>
      <w:r>
        <w:rPr>
          <w:rFonts w:hint="eastAsia" w:ascii="宋体" w:hAnsi="宋体" w:eastAsia="宋体" w:cs="宋体"/>
          <w:b/>
          <w:bCs/>
          <w:color w:val="auto"/>
          <w:sz w:val="24"/>
          <w:szCs w:val="24"/>
          <w:highlight w:val="none"/>
        </w:rPr>
        <w:t>。</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5.</w:t>
      </w:r>
      <w:r>
        <w:rPr>
          <w:rStyle w:val="39"/>
          <w:rFonts w:hint="eastAsia" w:ascii="宋体" w:hAnsi="宋体" w:eastAsia="宋体" w:cs="宋体"/>
          <w:color w:val="auto"/>
          <w:sz w:val="24"/>
          <w:szCs w:val="24"/>
          <w:highlight w:val="none"/>
        </w:rPr>
        <w:t>投标供应商应认真审阅招标文件中所有的事项、格式、条款和规范要求等，如果供应商没有按照招标文件要求提交</w:t>
      </w:r>
      <w:r>
        <w:rPr>
          <w:rStyle w:val="39"/>
          <w:rFonts w:hint="eastAsia" w:ascii="宋体" w:hAnsi="宋体" w:eastAsia="宋体" w:cs="宋体"/>
          <w:color w:val="auto"/>
          <w:sz w:val="24"/>
          <w:szCs w:val="24"/>
          <w:highlight w:val="none"/>
          <w:lang w:val="en-US" w:eastAsia="zh-CN"/>
        </w:rPr>
        <w:t>投标</w:t>
      </w:r>
      <w:r>
        <w:rPr>
          <w:rStyle w:val="39"/>
          <w:rFonts w:hint="eastAsia" w:ascii="宋体" w:hAnsi="宋体" w:eastAsia="宋体" w:cs="宋体"/>
          <w:color w:val="auto"/>
          <w:sz w:val="24"/>
          <w:szCs w:val="24"/>
          <w:highlight w:val="none"/>
        </w:rPr>
        <w:t>文件，或者</w:t>
      </w:r>
      <w:r>
        <w:rPr>
          <w:rStyle w:val="39"/>
          <w:rFonts w:hint="eastAsia" w:ascii="宋体" w:hAnsi="宋体" w:eastAsia="宋体" w:cs="宋体"/>
          <w:color w:val="auto"/>
          <w:sz w:val="24"/>
          <w:szCs w:val="24"/>
          <w:highlight w:val="none"/>
          <w:lang w:val="en-US" w:eastAsia="zh-CN"/>
        </w:rPr>
        <w:t>投标</w:t>
      </w:r>
      <w:r>
        <w:rPr>
          <w:rStyle w:val="39"/>
          <w:rFonts w:hint="eastAsia" w:ascii="宋体" w:hAnsi="宋体" w:eastAsia="宋体" w:cs="宋体"/>
          <w:color w:val="auto"/>
          <w:sz w:val="24"/>
          <w:szCs w:val="24"/>
          <w:highlight w:val="none"/>
        </w:rPr>
        <w:t>文件没有对招标文件做出实质性响应，将被拒绝参与投标。</w:t>
      </w:r>
    </w:p>
    <w:p>
      <w:pPr>
        <w:snapToGrid w:val="0"/>
        <w:spacing w:line="500" w:lineRule="exact"/>
        <w:ind w:firstLine="494" w:firstLineChars="206"/>
        <w:rPr>
          <w:rStyle w:val="39"/>
          <w:rFonts w:hint="eastAsia" w:ascii="宋体" w:hAnsi="宋体" w:eastAsia="宋体" w:cs="宋体"/>
          <w:b/>
          <w:color w:val="auto"/>
          <w:sz w:val="24"/>
          <w:szCs w:val="24"/>
          <w:highlight w:val="none"/>
        </w:rPr>
      </w:pPr>
      <w:r>
        <w:rPr>
          <w:rStyle w:val="39"/>
          <w:rFonts w:hint="eastAsia" w:ascii="宋体" w:hAnsi="宋体" w:eastAsia="宋体" w:cs="宋体"/>
          <w:color w:val="auto"/>
          <w:sz w:val="24"/>
          <w:szCs w:val="24"/>
          <w:highlight w:val="none"/>
          <w:lang w:eastAsia="zh-CN"/>
        </w:rPr>
        <w:t>6.</w:t>
      </w:r>
      <w:r>
        <w:rPr>
          <w:rStyle w:val="39"/>
          <w:rFonts w:hint="eastAsia" w:ascii="宋体" w:hAnsi="宋体" w:eastAsia="宋体" w:cs="宋体"/>
          <w:color w:val="auto"/>
          <w:sz w:val="24"/>
          <w:szCs w:val="24"/>
          <w:highlight w:val="none"/>
        </w:rPr>
        <w:t>招标文件项目需求提供的可能涉及到的工艺、材料、设备、商标、样本、技术规范、参数规格、品牌等，仅作为说明并没有限制性，投标供应商在投标中可以选用替代标准，但这些替代标准要优于或相当于项目需求技术规格中要求的标准，以满足采购人的需要。</w:t>
      </w:r>
    </w:p>
    <w:p>
      <w:pPr>
        <w:snapToGrid w:val="0"/>
        <w:spacing w:line="500" w:lineRule="exact"/>
        <w:ind w:firstLine="494" w:firstLineChars="206"/>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二、招标文件的补充说明、澄清、修改、答疑</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代理机构有权对发出的招标文件进行必要的补充说明、澄清或修改。</w:t>
      </w:r>
    </w:p>
    <w:p>
      <w:pPr>
        <w:snapToGrid w:val="0"/>
        <w:spacing w:line="500" w:lineRule="exact"/>
        <w:ind w:firstLine="480" w:firstLineChars="200"/>
        <w:jc w:val="left"/>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招标文件的澄清、修改、补充等内容均以书面明确的形式发布，且以在</w:t>
      </w:r>
      <w:r>
        <w:rPr>
          <w:rStyle w:val="39"/>
          <w:rFonts w:hint="eastAsia" w:ascii="宋体" w:hAnsi="宋体" w:eastAsia="宋体" w:cs="宋体"/>
          <w:color w:val="auto"/>
          <w:sz w:val="24"/>
          <w:szCs w:val="24"/>
          <w:highlight w:val="none"/>
          <w:lang w:eastAsia="zh-CN"/>
        </w:rPr>
        <w:t>南通市文化广电和旅游局-政府采购栏、南通博物苑-资讯-招标信息栏</w:t>
      </w:r>
      <w:r>
        <w:rPr>
          <w:rStyle w:val="39"/>
          <w:rFonts w:hint="eastAsia" w:ascii="宋体" w:hAnsi="宋体" w:eastAsia="宋体" w:cs="宋体"/>
          <w:color w:val="auto"/>
          <w:sz w:val="24"/>
          <w:szCs w:val="24"/>
          <w:highlight w:val="none"/>
        </w:rPr>
        <w:t>发布的信息为准。</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代理机构对招标文件的补充说明、澄清或修改，将构成招标文件的一部分，对投标供应商具有约束力。</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补充说明、澄清或修改的内容可能影响到</w:t>
      </w:r>
      <w:r>
        <w:rPr>
          <w:rStyle w:val="39"/>
          <w:rFonts w:hint="eastAsia" w:ascii="宋体" w:hAnsi="宋体" w:eastAsia="宋体" w:cs="宋体"/>
          <w:color w:val="auto"/>
          <w:sz w:val="24"/>
          <w:szCs w:val="24"/>
          <w:highlight w:val="none"/>
          <w:lang w:val="en-US" w:eastAsia="zh-CN"/>
        </w:rPr>
        <w:t>投标</w:t>
      </w:r>
      <w:r>
        <w:rPr>
          <w:rStyle w:val="39"/>
          <w:rFonts w:hint="eastAsia" w:ascii="宋体" w:hAnsi="宋体" w:eastAsia="宋体" w:cs="宋体"/>
          <w:color w:val="auto"/>
          <w:sz w:val="24"/>
          <w:szCs w:val="24"/>
          <w:highlight w:val="none"/>
        </w:rPr>
        <w:t>文件编制的，代理机构将在提交首次</w:t>
      </w:r>
      <w:r>
        <w:rPr>
          <w:rStyle w:val="39"/>
          <w:rFonts w:hint="eastAsia" w:ascii="宋体" w:hAnsi="宋体" w:eastAsia="宋体" w:cs="宋体"/>
          <w:color w:val="auto"/>
          <w:sz w:val="24"/>
          <w:szCs w:val="24"/>
          <w:highlight w:val="none"/>
          <w:lang w:val="en-US" w:eastAsia="zh-CN"/>
        </w:rPr>
        <w:t>投标</w:t>
      </w:r>
      <w:r>
        <w:rPr>
          <w:rStyle w:val="39"/>
          <w:rFonts w:hint="eastAsia" w:ascii="宋体" w:hAnsi="宋体" w:eastAsia="宋体" w:cs="宋体"/>
          <w:color w:val="auto"/>
          <w:sz w:val="24"/>
          <w:szCs w:val="24"/>
          <w:highlight w:val="none"/>
        </w:rPr>
        <w:t>文件截止之日15日前，发布补充说明、澄清或修改</w:t>
      </w:r>
      <w:r>
        <w:rPr>
          <w:rStyle w:val="39"/>
          <w:rFonts w:hint="eastAsia" w:ascii="宋体" w:hAnsi="宋体" w:eastAsia="宋体" w:cs="宋体"/>
          <w:color w:val="auto"/>
          <w:sz w:val="24"/>
          <w:szCs w:val="24"/>
          <w:highlight w:val="none"/>
          <w:lang w:val="en-US" w:eastAsia="zh-CN"/>
        </w:rPr>
        <w:t>公告</w:t>
      </w:r>
      <w:r>
        <w:rPr>
          <w:rStyle w:val="39"/>
          <w:rFonts w:hint="eastAsia" w:ascii="宋体" w:hAnsi="宋体" w:eastAsia="宋体" w:cs="宋体"/>
          <w:color w:val="auto"/>
          <w:sz w:val="24"/>
          <w:szCs w:val="24"/>
          <w:highlight w:val="none"/>
        </w:rPr>
        <w:t>，不足15日的，应当顺延提交首次</w:t>
      </w:r>
      <w:r>
        <w:rPr>
          <w:rStyle w:val="39"/>
          <w:rFonts w:hint="eastAsia" w:ascii="宋体" w:hAnsi="宋体" w:eastAsia="宋体" w:cs="宋体"/>
          <w:color w:val="auto"/>
          <w:sz w:val="24"/>
          <w:szCs w:val="24"/>
          <w:highlight w:val="none"/>
          <w:lang w:val="en-US" w:eastAsia="zh-CN"/>
        </w:rPr>
        <w:t>投标</w:t>
      </w:r>
      <w:r>
        <w:rPr>
          <w:rStyle w:val="39"/>
          <w:rFonts w:hint="eastAsia" w:ascii="宋体" w:hAnsi="宋体" w:eastAsia="宋体" w:cs="宋体"/>
          <w:color w:val="auto"/>
          <w:sz w:val="24"/>
          <w:szCs w:val="24"/>
          <w:highlight w:val="none"/>
        </w:rPr>
        <w:t>文件截止之日。</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5.</w:t>
      </w:r>
      <w:r>
        <w:rPr>
          <w:rStyle w:val="39"/>
          <w:rFonts w:hint="eastAsia" w:ascii="宋体" w:hAnsi="宋体" w:eastAsia="宋体" w:cs="宋体"/>
          <w:color w:val="auto"/>
          <w:sz w:val="24"/>
          <w:szCs w:val="24"/>
          <w:highlight w:val="none"/>
        </w:rPr>
        <w:t>除非代理机构以书面的形式对招标文件作出澄清、修改及补充，投标供应商对涉及招标文件的任何推论、理解和结论所造成的结果，均由投标供应商自负。</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6.</w:t>
      </w:r>
      <w:r>
        <w:rPr>
          <w:rStyle w:val="39"/>
          <w:rFonts w:hint="eastAsia" w:ascii="宋体" w:hAnsi="宋体" w:eastAsia="宋体" w:cs="宋体"/>
          <w:color w:val="auto"/>
          <w:sz w:val="24"/>
          <w:szCs w:val="24"/>
          <w:highlight w:val="none"/>
        </w:rPr>
        <w:t>采购单位视情组织答疑会。如有产生答疑且对招标文件内容有修改，代理机构将按照本须知有关规定，以补充通知（</w:t>
      </w:r>
      <w:r>
        <w:rPr>
          <w:rStyle w:val="39"/>
          <w:rFonts w:hint="eastAsia" w:ascii="宋体" w:hAnsi="宋体" w:eastAsia="宋体" w:cs="宋体"/>
          <w:color w:val="auto"/>
          <w:sz w:val="24"/>
          <w:szCs w:val="24"/>
          <w:highlight w:val="none"/>
          <w:lang w:val="en-US" w:eastAsia="zh-CN"/>
        </w:rPr>
        <w:t>公告</w:t>
      </w:r>
      <w:r>
        <w:rPr>
          <w:rStyle w:val="39"/>
          <w:rFonts w:hint="eastAsia" w:ascii="宋体" w:hAnsi="宋体" w:eastAsia="宋体" w:cs="宋体"/>
          <w:color w:val="auto"/>
          <w:sz w:val="24"/>
          <w:szCs w:val="24"/>
          <w:highlight w:val="none"/>
        </w:rPr>
        <w:t>）的方式发出。</w:t>
      </w:r>
    </w:p>
    <w:p>
      <w:pPr>
        <w:snapToGrid w:val="0"/>
        <w:spacing w:line="500" w:lineRule="exact"/>
        <w:ind w:firstLine="480" w:firstLineChars="200"/>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三、投标项目涉及到的现场勘察</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招标文件所提供的项目相关数据仅做参考，根据自身需要，投标供应商可在投标文件递交之日前对有关现场和周围环境进行勘察，以获取编制投标文件和签署合同所需的信息。勘察现场所发生的费用由投标供应商自己承担。</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采购单位向投标供应商提供的有关现场的资料和数据，是采购单位现有的并认为能使投标供应商可利用的资料。采购人对投标供应商由此而做出的推论、理解和结论概不负责。</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经采购人允许，投标供应商可为勘察目的进入采购人的项目现场，但投标供应商不得因此使采购人承担有关的责任和蒙受损失。投标供应商应承担勘察现场的责任和风险。</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投标供应商应认真踏勘现场。在现场勘察时，熟悉供货及安装现场、现场周围交通道路等情况，以获得一切可能影响其投标的直接资料。投标供应商中标后，不得以不完全了解现场情况为理由而向采购人提出任何索赔的要求，对此采购人不承担任何责任并将不作任何答复与考虑。</w:t>
      </w:r>
    </w:p>
    <w:p>
      <w:pPr>
        <w:snapToGrid w:val="0"/>
        <w:spacing w:line="500" w:lineRule="exact"/>
        <w:ind w:firstLine="480" w:firstLineChars="200"/>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四、投标文件的组成及装订</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投标文件由：①资格审查文件、②</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、③</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rPr>
        <w:fldChar w:fldCharType="begin"/>
      </w:r>
      <w:r>
        <w:rPr>
          <w:rStyle w:val="39"/>
          <w:rFonts w:hint="eastAsia" w:ascii="宋体" w:hAnsi="宋体" w:eastAsia="宋体" w:cs="宋体"/>
          <w:color w:val="auto"/>
          <w:sz w:val="24"/>
          <w:szCs w:val="24"/>
          <w:highlight w:val="none"/>
        </w:rPr>
        <w:instrText xml:space="preserve"> = 4 \* GB3 \* MERGEFORMAT </w:instrText>
      </w:r>
      <w:r>
        <w:rPr>
          <w:rStyle w:val="39"/>
          <w:rFonts w:hint="eastAsia" w:ascii="宋体" w:hAnsi="宋体" w:eastAsia="宋体" w:cs="宋体"/>
          <w:color w:val="auto"/>
          <w:sz w:val="24"/>
          <w:szCs w:val="24"/>
          <w:highlight w:val="none"/>
        </w:rPr>
        <w:fldChar w:fldCharType="separate"/>
      </w:r>
      <w:r>
        <w:rPr>
          <w:rStyle w:val="39"/>
          <w:rFonts w:hint="eastAsia" w:ascii="宋体" w:hAnsi="宋体" w:eastAsia="宋体" w:cs="宋体"/>
          <w:color w:val="auto"/>
          <w:sz w:val="24"/>
          <w:szCs w:val="24"/>
          <w:highlight w:val="none"/>
        </w:rPr>
        <w:t>④</w:t>
      </w:r>
      <w:r>
        <w:rPr>
          <w:rStyle w:val="39"/>
          <w:rFonts w:hint="eastAsia" w:ascii="宋体" w:hAnsi="宋体" w:eastAsia="宋体" w:cs="宋体"/>
          <w:color w:val="auto"/>
          <w:sz w:val="24"/>
          <w:szCs w:val="24"/>
          <w:highlight w:val="none"/>
        </w:rPr>
        <w:fldChar w:fldCharType="end"/>
      </w:r>
      <w:r>
        <w:rPr>
          <w:rStyle w:val="39"/>
          <w:rFonts w:hint="eastAsia" w:ascii="宋体" w:hAnsi="宋体" w:eastAsia="宋体" w:cs="宋体"/>
          <w:color w:val="auto"/>
          <w:sz w:val="24"/>
          <w:szCs w:val="24"/>
          <w:highlight w:val="none"/>
          <w:lang w:val="en-US" w:eastAsia="zh-CN"/>
        </w:rPr>
        <w:t>投标响应</w:t>
      </w:r>
      <w:r>
        <w:rPr>
          <w:rStyle w:val="39"/>
          <w:rFonts w:hint="eastAsia" w:ascii="宋体" w:hAnsi="宋体" w:eastAsia="宋体" w:cs="宋体"/>
          <w:color w:val="auto"/>
          <w:sz w:val="24"/>
          <w:szCs w:val="24"/>
          <w:highlight w:val="none"/>
        </w:rPr>
        <w:t>文件电子版共4部分组成（以下由文件序号代称）。</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投标供应商按招标文件要求编写投标文件，并牢固装订成册。投标文件均需采用A4纸（图纸等除外），不要使用活页夹、拉杆夹、文件夹、塑料方便式书脊（插入式或穿孔式）装订。投标文件不得行间插字、涂改、增删，如修改错漏处，须经投标文件签署人签字并加盖公章。</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投标文件的 “资格审查文件”“</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”各自装订成册。特别提示：“</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”必须单独装订和封装，不得出现在“资格审查文件”和“</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”之中。</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val="en-US" w:eastAsia="zh-CN"/>
        </w:rPr>
        <w:t>4.</w:t>
      </w:r>
      <w:r>
        <w:rPr>
          <w:rStyle w:val="39"/>
          <w:rFonts w:hint="eastAsia" w:ascii="宋体" w:hAnsi="宋体" w:eastAsia="宋体" w:cs="宋体"/>
          <w:color w:val="auto"/>
          <w:sz w:val="24"/>
          <w:szCs w:val="24"/>
          <w:highlight w:val="none"/>
        </w:rPr>
        <w:fldChar w:fldCharType="begin"/>
      </w:r>
      <w:r>
        <w:rPr>
          <w:rStyle w:val="39"/>
          <w:rFonts w:hint="eastAsia" w:ascii="宋体" w:hAnsi="宋体" w:eastAsia="宋体" w:cs="宋体"/>
          <w:color w:val="auto"/>
          <w:sz w:val="24"/>
          <w:szCs w:val="24"/>
          <w:highlight w:val="none"/>
        </w:rPr>
        <w:instrText xml:space="preserve"> = 4 \* GB3 \* MERGEFORMAT </w:instrText>
      </w:r>
      <w:r>
        <w:rPr>
          <w:rStyle w:val="39"/>
          <w:rFonts w:hint="eastAsia" w:ascii="宋体" w:hAnsi="宋体" w:eastAsia="宋体" w:cs="宋体"/>
          <w:color w:val="auto"/>
          <w:sz w:val="24"/>
          <w:szCs w:val="24"/>
          <w:highlight w:val="none"/>
        </w:rPr>
        <w:fldChar w:fldCharType="separate"/>
      </w:r>
      <w:r>
        <w:rPr>
          <w:rStyle w:val="39"/>
          <w:rFonts w:hint="eastAsia" w:ascii="宋体" w:hAnsi="宋体" w:eastAsia="宋体" w:cs="宋体"/>
          <w:color w:val="auto"/>
          <w:sz w:val="24"/>
          <w:szCs w:val="24"/>
          <w:highlight w:val="none"/>
        </w:rPr>
        <w:t>④</w:t>
      </w:r>
      <w:r>
        <w:rPr>
          <w:rStyle w:val="39"/>
          <w:rFonts w:hint="eastAsia" w:ascii="宋体" w:hAnsi="宋体" w:eastAsia="宋体" w:cs="宋体"/>
          <w:color w:val="auto"/>
          <w:sz w:val="24"/>
          <w:szCs w:val="24"/>
          <w:highlight w:val="none"/>
        </w:rPr>
        <w:fldChar w:fldCharType="end"/>
      </w:r>
      <w:r>
        <w:rPr>
          <w:rStyle w:val="39"/>
          <w:rFonts w:hint="eastAsia" w:ascii="宋体" w:hAnsi="宋体" w:eastAsia="宋体" w:cs="宋体"/>
          <w:color w:val="auto"/>
          <w:sz w:val="24"/>
          <w:szCs w:val="24"/>
          <w:highlight w:val="none"/>
          <w:lang w:val="en-US" w:eastAsia="zh-CN"/>
        </w:rPr>
        <w:t>投标</w:t>
      </w:r>
      <w:r>
        <w:rPr>
          <w:rStyle w:val="39"/>
          <w:rFonts w:hint="eastAsia" w:ascii="宋体" w:hAnsi="宋体" w:eastAsia="宋体" w:cs="宋体"/>
          <w:color w:val="auto"/>
          <w:sz w:val="24"/>
          <w:szCs w:val="24"/>
          <w:highlight w:val="none"/>
        </w:rPr>
        <w:t>文件电子版需将</w:t>
      </w:r>
      <w:r>
        <w:rPr>
          <w:rStyle w:val="39"/>
          <w:rFonts w:hint="eastAsia" w:ascii="宋体" w:hAnsi="宋体" w:eastAsia="宋体" w:cs="宋体"/>
          <w:color w:val="auto"/>
          <w:sz w:val="24"/>
          <w:szCs w:val="24"/>
          <w:highlight w:val="none"/>
        </w:rPr>
        <w:fldChar w:fldCharType="begin"/>
      </w:r>
      <w:r>
        <w:rPr>
          <w:rStyle w:val="39"/>
          <w:rFonts w:hint="eastAsia" w:ascii="宋体" w:hAnsi="宋体" w:eastAsia="宋体" w:cs="宋体"/>
          <w:color w:val="auto"/>
          <w:sz w:val="24"/>
          <w:szCs w:val="24"/>
          <w:highlight w:val="none"/>
        </w:rPr>
        <w:instrText xml:space="preserve"> = 1 \* GB3 </w:instrText>
      </w:r>
      <w:r>
        <w:rPr>
          <w:rStyle w:val="39"/>
          <w:rFonts w:hint="eastAsia" w:ascii="宋体" w:hAnsi="宋体" w:eastAsia="宋体" w:cs="宋体"/>
          <w:color w:val="auto"/>
          <w:sz w:val="24"/>
          <w:szCs w:val="24"/>
          <w:highlight w:val="none"/>
        </w:rPr>
        <w:fldChar w:fldCharType="separate"/>
      </w:r>
      <w:r>
        <w:rPr>
          <w:rStyle w:val="39"/>
          <w:rFonts w:hint="eastAsia" w:ascii="宋体" w:hAnsi="宋体" w:eastAsia="宋体" w:cs="宋体"/>
          <w:color w:val="auto"/>
          <w:sz w:val="24"/>
          <w:szCs w:val="24"/>
          <w:highlight w:val="none"/>
        </w:rPr>
        <w:t>①</w:t>
      </w:r>
      <w:r>
        <w:rPr>
          <w:rStyle w:val="39"/>
          <w:rFonts w:hint="eastAsia" w:ascii="宋体" w:hAnsi="宋体" w:eastAsia="宋体" w:cs="宋体"/>
          <w:color w:val="auto"/>
          <w:sz w:val="24"/>
          <w:szCs w:val="24"/>
          <w:highlight w:val="none"/>
        </w:rPr>
        <w:fldChar w:fldCharType="end"/>
      </w:r>
      <w:r>
        <w:rPr>
          <w:rStyle w:val="39"/>
          <w:rFonts w:hint="eastAsia" w:ascii="宋体" w:hAnsi="宋体" w:eastAsia="宋体" w:cs="宋体"/>
          <w:color w:val="auto"/>
          <w:sz w:val="24"/>
          <w:szCs w:val="24"/>
          <w:highlight w:val="none"/>
        </w:rPr>
        <w:fldChar w:fldCharType="begin"/>
      </w:r>
      <w:r>
        <w:rPr>
          <w:rStyle w:val="39"/>
          <w:rFonts w:hint="eastAsia" w:ascii="宋体" w:hAnsi="宋体" w:eastAsia="宋体" w:cs="宋体"/>
          <w:color w:val="auto"/>
          <w:sz w:val="24"/>
          <w:szCs w:val="24"/>
          <w:highlight w:val="none"/>
        </w:rPr>
        <w:instrText xml:space="preserve"> = 2 \* GB3 </w:instrText>
      </w:r>
      <w:r>
        <w:rPr>
          <w:rStyle w:val="39"/>
          <w:rFonts w:hint="eastAsia" w:ascii="宋体" w:hAnsi="宋体" w:eastAsia="宋体" w:cs="宋体"/>
          <w:color w:val="auto"/>
          <w:sz w:val="24"/>
          <w:szCs w:val="24"/>
          <w:highlight w:val="none"/>
        </w:rPr>
        <w:fldChar w:fldCharType="separate"/>
      </w:r>
      <w:r>
        <w:rPr>
          <w:rStyle w:val="39"/>
          <w:rFonts w:hint="eastAsia" w:ascii="宋体" w:hAnsi="宋体" w:eastAsia="宋体" w:cs="宋体"/>
          <w:color w:val="auto"/>
          <w:sz w:val="24"/>
          <w:szCs w:val="24"/>
          <w:highlight w:val="none"/>
        </w:rPr>
        <w:t>②</w:t>
      </w:r>
      <w:r>
        <w:rPr>
          <w:rStyle w:val="39"/>
          <w:rFonts w:hint="eastAsia" w:ascii="宋体" w:hAnsi="宋体" w:eastAsia="宋体" w:cs="宋体"/>
          <w:color w:val="auto"/>
          <w:sz w:val="24"/>
          <w:szCs w:val="24"/>
          <w:highlight w:val="none"/>
        </w:rPr>
        <w:fldChar w:fldCharType="end"/>
      </w:r>
      <w:r>
        <w:rPr>
          <w:rStyle w:val="39"/>
          <w:rFonts w:hint="eastAsia" w:ascii="宋体" w:hAnsi="宋体" w:eastAsia="宋体" w:cs="宋体"/>
          <w:color w:val="auto"/>
          <w:sz w:val="24"/>
          <w:szCs w:val="24"/>
          <w:highlight w:val="none"/>
        </w:rPr>
        <w:t>③的正本盖章后扫描一份存于U盘中，单独密封递交</w:t>
      </w:r>
    </w:p>
    <w:p>
      <w:pPr>
        <w:snapToGrid w:val="0"/>
        <w:spacing w:line="500" w:lineRule="exact"/>
        <w:ind w:firstLine="480" w:firstLineChars="200"/>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五、投标文件的份数、签署</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投标供应商应准备</w:t>
      </w:r>
      <w:r>
        <w:rPr>
          <w:rStyle w:val="39"/>
          <w:rFonts w:hint="eastAsia" w:ascii="宋体" w:hAnsi="宋体" w:eastAsia="宋体" w:cs="宋体"/>
          <w:color w:val="auto"/>
          <w:sz w:val="24"/>
          <w:szCs w:val="24"/>
          <w:highlight w:val="none"/>
          <w:u w:val="single" w:color="000000"/>
        </w:rPr>
        <w:t xml:space="preserve"> </w:t>
      </w:r>
      <w:r>
        <w:rPr>
          <w:rStyle w:val="39"/>
          <w:rFonts w:hint="eastAsia" w:ascii="宋体" w:hAnsi="宋体" w:eastAsia="宋体" w:cs="宋体"/>
          <w:color w:val="auto"/>
          <w:sz w:val="24"/>
          <w:szCs w:val="24"/>
          <w:highlight w:val="none"/>
          <w:u w:val="single" w:color="000000"/>
          <w:lang w:val="en-US" w:eastAsia="zh-CN"/>
        </w:rPr>
        <w:t>叁</w:t>
      </w:r>
      <w:r>
        <w:rPr>
          <w:rStyle w:val="39"/>
          <w:rFonts w:hint="eastAsia" w:ascii="宋体" w:hAnsi="宋体" w:eastAsia="宋体" w:cs="宋体"/>
          <w:color w:val="auto"/>
          <w:sz w:val="24"/>
          <w:szCs w:val="24"/>
          <w:highlight w:val="none"/>
          <w:u w:val="single" w:color="000000"/>
        </w:rPr>
        <w:t xml:space="preserve"> </w:t>
      </w:r>
      <w:r>
        <w:rPr>
          <w:rStyle w:val="39"/>
          <w:rFonts w:hint="eastAsia" w:ascii="宋体" w:hAnsi="宋体" w:eastAsia="宋体" w:cs="宋体"/>
          <w:color w:val="auto"/>
          <w:sz w:val="24"/>
          <w:szCs w:val="24"/>
          <w:highlight w:val="none"/>
        </w:rPr>
        <w:t>份完整的投标文件，其中正本</w:t>
      </w:r>
      <w:r>
        <w:rPr>
          <w:rStyle w:val="39"/>
          <w:rFonts w:hint="eastAsia" w:ascii="宋体" w:hAnsi="宋体" w:eastAsia="宋体" w:cs="宋体"/>
          <w:b/>
          <w:color w:val="auto"/>
          <w:sz w:val="24"/>
          <w:szCs w:val="24"/>
          <w:highlight w:val="none"/>
          <w:u w:val="single" w:color="000000"/>
        </w:rPr>
        <w:t xml:space="preserve"> 壹 </w:t>
      </w:r>
      <w:r>
        <w:rPr>
          <w:rStyle w:val="39"/>
          <w:rFonts w:hint="eastAsia" w:ascii="宋体" w:hAnsi="宋体" w:eastAsia="宋体" w:cs="宋体"/>
          <w:color w:val="auto"/>
          <w:sz w:val="24"/>
          <w:szCs w:val="24"/>
          <w:highlight w:val="none"/>
        </w:rPr>
        <w:t>份，副本</w:t>
      </w:r>
      <w:r>
        <w:rPr>
          <w:rStyle w:val="39"/>
          <w:rFonts w:hint="eastAsia" w:ascii="宋体" w:hAnsi="宋体" w:eastAsia="宋体" w:cs="宋体"/>
          <w:b/>
          <w:color w:val="auto"/>
          <w:sz w:val="24"/>
          <w:szCs w:val="24"/>
          <w:highlight w:val="none"/>
          <w:u w:val="single" w:color="000000"/>
        </w:rPr>
        <w:t xml:space="preserve"> </w:t>
      </w:r>
      <w:r>
        <w:rPr>
          <w:rStyle w:val="39"/>
          <w:rFonts w:hint="eastAsia" w:ascii="宋体" w:hAnsi="宋体" w:eastAsia="宋体" w:cs="宋体"/>
          <w:b/>
          <w:color w:val="auto"/>
          <w:sz w:val="24"/>
          <w:szCs w:val="24"/>
          <w:highlight w:val="none"/>
          <w:u w:val="single" w:color="000000"/>
          <w:lang w:val="en-US" w:eastAsia="zh-CN"/>
        </w:rPr>
        <w:t>贰</w:t>
      </w:r>
      <w:r>
        <w:rPr>
          <w:rStyle w:val="39"/>
          <w:rFonts w:hint="eastAsia" w:ascii="宋体" w:hAnsi="宋体" w:eastAsia="宋体" w:cs="宋体"/>
          <w:color w:val="auto"/>
          <w:sz w:val="24"/>
          <w:szCs w:val="24"/>
          <w:highlight w:val="none"/>
          <w:u w:val="single" w:color="000000"/>
        </w:rPr>
        <w:t xml:space="preserve"> </w:t>
      </w:r>
      <w:r>
        <w:rPr>
          <w:rStyle w:val="39"/>
          <w:rFonts w:hint="eastAsia" w:ascii="宋体" w:hAnsi="宋体" w:eastAsia="宋体" w:cs="宋体"/>
          <w:color w:val="auto"/>
          <w:sz w:val="24"/>
          <w:szCs w:val="24"/>
          <w:highlight w:val="none"/>
        </w:rPr>
        <w:t>份，并标明“正本”或“副本”字样，若有差异，概以“正本”为准。</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投标文件分</w:t>
      </w:r>
      <w:r>
        <w:rPr>
          <w:rStyle w:val="39"/>
          <w:rFonts w:hint="eastAsia" w:ascii="宋体" w:hAnsi="宋体" w:eastAsia="宋体" w:cs="宋体"/>
          <w:color w:val="auto"/>
          <w:sz w:val="24"/>
          <w:szCs w:val="24"/>
          <w:highlight w:val="none"/>
          <w:lang w:val="en-US" w:eastAsia="zh-CN"/>
        </w:rPr>
        <w:t>四</w:t>
      </w:r>
      <w:r>
        <w:rPr>
          <w:rStyle w:val="39"/>
          <w:rFonts w:hint="eastAsia" w:ascii="宋体" w:hAnsi="宋体" w:eastAsia="宋体" w:cs="宋体"/>
          <w:color w:val="auto"/>
          <w:sz w:val="24"/>
          <w:szCs w:val="24"/>
          <w:highlight w:val="none"/>
        </w:rPr>
        <w:t>册密封。第一册为 “资格审查文件”，第二册为“</w:t>
      </w:r>
      <w:r>
        <w:rPr>
          <w:rStyle w:val="39"/>
          <w:rFonts w:hint="eastAsia" w:ascii="宋体" w:hAnsi="宋体" w:eastAsia="宋体" w:cs="宋体"/>
          <w:color w:val="auto"/>
          <w:sz w:val="24"/>
          <w:szCs w:val="24"/>
          <w:highlight w:val="none"/>
          <w:lang w:val="en-US" w:eastAsia="zh-CN"/>
        </w:rPr>
        <w:t>商务技术文件</w:t>
      </w:r>
      <w:r>
        <w:rPr>
          <w:rStyle w:val="39"/>
          <w:rFonts w:hint="eastAsia" w:ascii="宋体" w:hAnsi="宋体" w:eastAsia="宋体" w:cs="宋体"/>
          <w:color w:val="auto"/>
          <w:sz w:val="24"/>
          <w:szCs w:val="24"/>
          <w:highlight w:val="none"/>
        </w:rPr>
        <w:t>”，第三册为“</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w:t>
      </w:r>
      <w:r>
        <w:rPr>
          <w:rStyle w:val="39"/>
          <w:rFonts w:hint="eastAsia" w:ascii="宋体" w:hAnsi="宋体" w:eastAsia="宋体" w:cs="宋体"/>
          <w:color w:val="auto"/>
          <w:sz w:val="24"/>
          <w:szCs w:val="24"/>
          <w:highlight w:val="none"/>
          <w:lang w:val="en-US" w:eastAsia="zh-CN"/>
        </w:rPr>
        <w:t>第四册为“投标</w:t>
      </w:r>
      <w:r>
        <w:rPr>
          <w:rStyle w:val="39"/>
          <w:rFonts w:hint="eastAsia" w:ascii="宋体" w:hAnsi="宋体" w:eastAsia="宋体" w:cs="宋体"/>
          <w:color w:val="auto"/>
          <w:sz w:val="24"/>
          <w:szCs w:val="24"/>
          <w:highlight w:val="none"/>
        </w:rPr>
        <w:t>文件电子版</w:t>
      </w:r>
      <w:r>
        <w:rPr>
          <w:rStyle w:val="39"/>
          <w:rFonts w:hint="eastAsia" w:ascii="宋体" w:hAnsi="宋体" w:eastAsia="宋体" w:cs="宋体"/>
          <w:color w:val="auto"/>
          <w:sz w:val="24"/>
          <w:szCs w:val="24"/>
          <w:highlight w:val="none"/>
          <w:lang w:val="en-US" w:eastAsia="zh-CN"/>
        </w:rPr>
        <w:t>”</w:t>
      </w:r>
      <w:r>
        <w:rPr>
          <w:rStyle w:val="39"/>
          <w:rFonts w:hint="eastAsia" w:ascii="宋体" w:hAnsi="宋体" w:eastAsia="宋体" w:cs="宋体"/>
          <w:color w:val="auto"/>
          <w:sz w:val="24"/>
          <w:szCs w:val="24"/>
          <w:highlight w:val="none"/>
        </w:rPr>
        <w:t>，投标文件的第一册、第二册、第三册</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lang w:val="en-US" w:eastAsia="zh-CN"/>
        </w:rPr>
        <w:t>第四册</w:t>
      </w:r>
      <w:r>
        <w:rPr>
          <w:rStyle w:val="39"/>
          <w:rFonts w:hint="eastAsia" w:ascii="宋体" w:hAnsi="宋体" w:eastAsia="宋体" w:cs="宋体"/>
          <w:color w:val="auto"/>
          <w:sz w:val="24"/>
          <w:szCs w:val="24"/>
          <w:highlight w:val="none"/>
        </w:rPr>
        <w:t>应分别密封，并在封袋上标明 “资格审查文件”“</w:t>
      </w:r>
      <w:r>
        <w:rPr>
          <w:rStyle w:val="39"/>
          <w:rFonts w:hint="eastAsia" w:ascii="宋体" w:hAnsi="宋体" w:eastAsia="宋体" w:cs="宋体"/>
          <w:color w:val="auto"/>
          <w:sz w:val="24"/>
          <w:szCs w:val="24"/>
          <w:highlight w:val="none"/>
          <w:lang w:val="en-US" w:eastAsia="zh-CN"/>
        </w:rPr>
        <w:t>商务技术文件</w:t>
      </w:r>
      <w:r>
        <w:rPr>
          <w:rStyle w:val="39"/>
          <w:rFonts w:hint="eastAsia" w:ascii="宋体" w:hAnsi="宋体" w:eastAsia="宋体" w:cs="宋体"/>
          <w:color w:val="auto"/>
          <w:sz w:val="24"/>
          <w:szCs w:val="24"/>
          <w:highlight w:val="none"/>
        </w:rPr>
        <w:t>”“</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lang w:val="en-US" w:eastAsia="zh-CN"/>
        </w:rPr>
        <w:t>投标</w:t>
      </w:r>
      <w:r>
        <w:rPr>
          <w:rStyle w:val="39"/>
          <w:rFonts w:hint="eastAsia" w:ascii="宋体" w:hAnsi="宋体" w:eastAsia="宋体" w:cs="宋体"/>
          <w:color w:val="auto"/>
          <w:sz w:val="24"/>
          <w:szCs w:val="24"/>
          <w:highlight w:val="none"/>
        </w:rPr>
        <w:t>文件电子版</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rPr>
        <w:t>。</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投标供应商可将投标文件正副本统一密封或分别密封，如正本和副本分别密封的，应在封袋上标明正、副本字样。</w:t>
      </w:r>
    </w:p>
    <w:p>
      <w:pPr>
        <w:snapToGrid w:val="0"/>
        <w:spacing w:line="500" w:lineRule="exact"/>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投标文件正本须按招标文件要求由法定代表人或被授权人签字或盖章并加盖投标供应商印章。副本可复印，但须加盖投标供应商印章。</w:t>
      </w:r>
    </w:p>
    <w:p>
      <w:pPr>
        <w:snapToGrid w:val="0"/>
        <w:spacing w:line="500" w:lineRule="exact"/>
        <w:ind w:firstLine="480" w:firstLineChars="200"/>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六、投标响应文件的密封及标记</w:t>
      </w:r>
    </w:p>
    <w:p>
      <w:pPr>
        <w:snapToGrid w:val="0"/>
        <w:spacing w:line="500" w:lineRule="exact"/>
        <w:ind w:firstLine="470" w:firstLineChars="196"/>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密封后，应在每一密封的投标文件上明确标注投标项目名称、投标文件各自对应的名称</w:t>
      </w:r>
      <w:r>
        <w:rPr>
          <w:rStyle w:val="39"/>
          <w:rFonts w:hint="eastAsia" w:ascii="宋体" w:hAnsi="宋体" w:eastAsia="宋体" w:cs="宋体"/>
          <w:color w:val="auto"/>
          <w:sz w:val="24"/>
          <w:szCs w:val="24"/>
          <w:highlight w:val="none"/>
          <w:lang w:val="en-US" w:eastAsia="zh-CN"/>
        </w:rPr>
        <w:t>、</w:t>
      </w:r>
      <w:r>
        <w:rPr>
          <w:rStyle w:val="39"/>
          <w:rFonts w:hint="eastAsia" w:ascii="宋体" w:hAnsi="宋体" w:eastAsia="宋体" w:cs="宋体"/>
          <w:color w:val="auto"/>
          <w:sz w:val="24"/>
          <w:szCs w:val="24"/>
          <w:highlight w:val="none"/>
        </w:rPr>
        <w:t>投标供应商全称及日期，同时加盖投标供应商公章。</w:t>
      </w:r>
    </w:p>
    <w:p>
      <w:pPr>
        <w:snapToGrid w:val="0"/>
        <w:spacing w:line="500" w:lineRule="exact"/>
        <w:ind w:firstLine="494" w:firstLineChars="206"/>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七、投标文件的有效期</w:t>
      </w:r>
    </w:p>
    <w:p>
      <w:pPr>
        <w:snapToGrid w:val="0"/>
        <w:spacing w:line="500" w:lineRule="exact"/>
        <w:ind w:firstLine="494" w:firstLineChars="206"/>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从投标文件接收截止之日算起，</w:t>
      </w:r>
      <w:r>
        <w:rPr>
          <w:rStyle w:val="39"/>
          <w:rFonts w:hint="eastAsia" w:ascii="宋体" w:hAnsi="宋体" w:eastAsia="宋体" w:cs="宋体"/>
          <w:color w:val="auto"/>
          <w:sz w:val="24"/>
          <w:szCs w:val="24"/>
          <w:highlight w:val="none"/>
          <w:u w:val="single" w:color="000000"/>
        </w:rPr>
        <w:t>45</w:t>
      </w:r>
      <w:r>
        <w:rPr>
          <w:rStyle w:val="39"/>
          <w:rFonts w:hint="eastAsia" w:ascii="宋体" w:hAnsi="宋体" w:eastAsia="宋体" w:cs="宋体"/>
          <w:color w:val="auto"/>
          <w:sz w:val="24"/>
          <w:szCs w:val="24"/>
          <w:highlight w:val="none"/>
        </w:rPr>
        <w:t>个日历天内投标书应保持有效。有效期短于这个规定期限的，投标将被拒绝。</w:t>
      </w:r>
    </w:p>
    <w:p>
      <w:pPr>
        <w:snapToGrid w:val="0"/>
        <w:spacing w:line="500" w:lineRule="exact"/>
        <w:ind w:firstLine="494" w:firstLineChars="206"/>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八、投标报价</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本项目不接受任何有选择的报价。</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投标报价均以人民币为报价的币种。</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报价表必须加盖投标供应商公章且必须经法定代表人或被授权人签字或盖章。</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lang w:val="en-US" w:eastAsia="zh-CN"/>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投标报价（以人民币计价）应包含</w:t>
      </w:r>
      <w:r>
        <w:rPr>
          <w:rStyle w:val="39"/>
          <w:rFonts w:hint="eastAsia" w:ascii="宋体" w:hAnsi="宋体" w:eastAsia="宋体" w:cs="宋体"/>
          <w:color w:val="auto"/>
          <w:sz w:val="24"/>
          <w:szCs w:val="24"/>
          <w:highlight w:val="none"/>
          <w:lang w:val="en-US" w:eastAsia="zh-CN"/>
        </w:rPr>
        <w:t>设备的成本</w:t>
      </w:r>
      <w:r>
        <w:rPr>
          <w:rStyle w:val="39"/>
          <w:rFonts w:hint="eastAsia" w:ascii="宋体" w:hAnsi="宋体" w:eastAsia="宋体" w:cs="宋体"/>
          <w:color w:val="auto"/>
          <w:sz w:val="24"/>
          <w:szCs w:val="24"/>
          <w:highlight w:val="none"/>
        </w:rPr>
        <w:t>、利润、税金、市场材料价格风险费、政策性调整风险费等的所有费用</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rPr>
        <w:t>包装、运输、保险、装卸、搬运费、技术措施费、机械进出场费、保管费；安装调试费、主材及标准附件、备品备件、辅材、专用工具、技术资料、损耗、人工费、机械费、检测费、管理费、利润</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lang w:val="en-US" w:eastAsia="zh-CN"/>
        </w:rPr>
        <w:t>维护保养费、性能测试费、维修费、清洁费、工具费、辅材费、人工劳务费、零部件材料费、易耗品和设备重要部件的备件费，国家税务部门规定的各项税金，原材料的涨价及政策性调整等风险费，相关伴</w:t>
      </w:r>
      <w:r>
        <w:rPr>
          <w:rStyle w:val="39"/>
          <w:rFonts w:hint="eastAsia" w:ascii="宋体" w:hAnsi="宋体" w:eastAsia="宋体" w:cs="宋体"/>
          <w:color w:val="auto"/>
          <w:sz w:val="24"/>
          <w:szCs w:val="24"/>
          <w:highlight w:val="none"/>
        </w:rPr>
        <w:t>随服务以及质保、售后服务等一切费用</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rPr>
        <w:t>即本项目采购的</w:t>
      </w:r>
      <w:r>
        <w:rPr>
          <w:rStyle w:val="39"/>
          <w:rFonts w:hint="eastAsia" w:ascii="宋体" w:hAnsi="宋体" w:eastAsia="宋体" w:cs="宋体"/>
          <w:color w:val="auto"/>
          <w:sz w:val="24"/>
          <w:szCs w:val="24"/>
          <w:highlight w:val="none"/>
          <w:lang w:val="en-US" w:eastAsia="zh-CN"/>
        </w:rPr>
        <w:t>标的物</w:t>
      </w:r>
      <w:r>
        <w:rPr>
          <w:rStyle w:val="39"/>
          <w:rFonts w:hint="eastAsia" w:ascii="宋体" w:hAnsi="宋体" w:eastAsia="宋体" w:cs="宋体"/>
          <w:color w:val="auto"/>
          <w:sz w:val="24"/>
          <w:szCs w:val="24"/>
          <w:highlight w:val="none"/>
        </w:rPr>
        <w:t>交付使用前的所有费用以及免费质保期内的服务费用等包含响应招标文件采购要求的所有费用</w:t>
      </w:r>
      <w:r>
        <w:rPr>
          <w:rStyle w:val="39"/>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5.</w:t>
      </w:r>
      <w:r>
        <w:rPr>
          <w:rStyle w:val="39"/>
          <w:rFonts w:hint="eastAsia" w:ascii="宋体" w:hAnsi="宋体" w:eastAsia="宋体" w:cs="宋体"/>
          <w:color w:val="auto"/>
          <w:sz w:val="24"/>
          <w:szCs w:val="24"/>
          <w:highlight w:val="none"/>
        </w:rPr>
        <w:t>报价出现前后不一致的，按照下列规定修正：</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（1）投标文件中报价表（开标一览表）内容与投标文件技术响应中内容明细不一致的，以报价表（开标一览表）为准；</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（2）投标文件中涉及大写金额和小写金额不一致的，以大写金额为准；</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（3）单价金额小数点或者百分比有明显错位的，以报价表（开标一览表）的总价为准，并修改单价；</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（4）总价金额与按单价汇总金额不一致的，以单价金额计算结果为准。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同时出现两种以上不一致的，按照前款规定的顺序修正。修正后的报价应当由投标供应商的法定代表人或分支机构负责人或其被授权人签字确认后产生约束力，投标供应商不确认的，其投标无效。</w:t>
      </w:r>
    </w:p>
    <w:p>
      <w:pPr>
        <w:keepNext w:val="0"/>
        <w:keepLines w:val="0"/>
        <w:pageBreakBefore w:val="0"/>
        <w:widowControl/>
        <w:kinsoku/>
        <w:wordWrap/>
        <w:overflowPunct/>
        <w:topLinePunct w:val="0"/>
        <w:autoSpaceDE/>
        <w:autoSpaceDN/>
        <w:bidi w:val="0"/>
        <w:adjustRightInd/>
        <w:snapToGrid w:val="0"/>
        <w:spacing w:line="360" w:lineRule="auto"/>
        <w:ind w:firstLine="494" w:firstLineChars="20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6.</w:t>
      </w:r>
      <w:r>
        <w:rPr>
          <w:rStyle w:val="39"/>
          <w:rFonts w:hint="eastAsia" w:ascii="宋体" w:hAnsi="宋体" w:eastAsia="宋体" w:cs="宋体"/>
          <w:color w:val="auto"/>
          <w:sz w:val="24"/>
          <w:szCs w:val="24"/>
          <w:highlight w:val="none"/>
        </w:rPr>
        <w:t>一次报定的</w:t>
      </w:r>
      <w:r>
        <w:rPr>
          <w:rStyle w:val="39"/>
          <w:rFonts w:hint="eastAsia" w:ascii="宋体" w:hAnsi="宋体" w:eastAsia="宋体" w:cs="宋体"/>
          <w:bCs/>
          <w:color w:val="auto"/>
          <w:sz w:val="24"/>
          <w:szCs w:val="24"/>
          <w:highlight w:val="none"/>
        </w:rPr>
        <w:t>价格为</w:t>
      </w:r>
      <w:r>
        <w:rPr>
          <w:rStyle w:val="39"/>
          <w:rFonts w:hint="eastAsia" w:ascii="宋体" w:hAnsi="宋体" w:eastAsia="宋体" w:cs="宋体"/>
          <w:color w:val="auto"/>
          <w:sz w:val="24"/>
          <w:szCs w:val="24"/>
          <w:highlight w:val="none"/>
        </w:rPr>
        <w:t>中标价，同时，已确定的中标价在合同实施期间不因市场变化因素而变动。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7.</w:t>
      </w:r>
      <w:r>
        <w:rPr>
          <w:rStyle w:val="39"/>
          <w:rFonts w:hint="eastAsia" w:ascii="宋体" w:hAnsi="宋体" w:eastAsia="宋体" w:cs="宋体"/>
          <w:color w:val="auto"/>
          <w:sz w:val="24"/>
          <w:szCs w:val="24"/>
          <w:highlight w:val="none"/>
        </w:rPr>
        <w:t>投标供应商应详细阅读招标文件的全部内容，根据采购项目需求，准确制定相关工作方案等，必须对本采购项目全部进行报价，如有漏项，视同对本项目的优惠。不按招标文件的要求提供响应文件，导致报价无效，按无效标处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Style w:val="39"/>
          <w:rFonts w:hint="eastAsia" w:ascii="宋体" w:hAnsi="宋体" w:eastAsia="宋体" w:cs="宋体"/>
          <w:b/>
          <w:bCs/>
          <w:color w:val="auto"/>
          <w:sz w:val="24"/>
          <w:szCs w:val="24"/>
          <w:highlight w:val="none"/>
          <w:lang w:val="zh-CN"/>
        </w:rPr>
      </w:pPr>
      <w:r>
        <w:rPr>
          <w:rStyle w:val="39"/>
          <w:rFonts w:hint="eastAsia" w:ascii="宋体" w:hAnsi="宋体" w:eastAsia="宋体" w:cs="宋体"/>
          <w:b/>
          <w:bCs/>
          <w:color w:val="auto"/>
          <w:sz w:val="24"/>
          <w:szCs w:val="24"/>
          <w:highlight w:val="none"/>
          <w:lang w:val="zh-CN"/>
        </w:rPr>
        <w:t>九、投标费用</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textAlignment w:val="baseline"/>
        <w:rPr>
          <w:rStyle w:val="39"/>
          <w:rFonts w:hint="default" w:ascii="宋体" w:hAnsi="宋体" w:eastAsia="宋体" w:cs="宋体"/>
          <w:color w:val="auto"/>
          <w:sz w:val="24"/>
          <w:szCs w:val="24"/>
          <w:highlight w:val="none"/>
          <w:lang w:val="en-US" w:eastAsia="zh-CN"/>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本项目代理服务费由</w:t>
      </w:r>
      <w:r>
        <w:rPr>
          <w:rStyle w:val="39"/>
          <w:rFonts w:hint="eastAsia" w:ascii="宋体" w:hAnsi="宋体" w:eastAsia="宋体" w:cs="宋体"/>
          <w:color w:val="auto"/>
          <w:sz w:val="24"/>
          <w:szCs w:val="24"/>
          <w:highlight w:val="none"/>
          <w:lang w:val="en-US" w:eastAsia="zh-CN"/>
        </w:rPr>
        <w:t>中标</w:t>
      </w:r>
      <w:r>
        <w:rPr>
          <w:rStyle w:val="39"/>
          <w:rFonts w:hint="eastAsia" w:ascii="宋体" w:hAnsi="宋体" w:eastAsia="宋体" w:cs="宋体"/>
          <w:color w:val="auto"/>
          <w:sz w:val="24"/>
          <w:szCs w:val="24"/>
          <w:highlight w:val="none"/>
        </w:rPr>
        <w:t>供应商支付。代理服务费按</w:t>
      </w:r>
      <w:r>
        <w:rPr>
          <w:rStyle w:val="39"/>
          <w:rFonts w:hint="eastAsia" w:ascii="宋体" w:hAnsi="宋体" w:eastAsia="宋体" w:cs="宋体"/>
          <w:color w:val="auto"/>
          <w:sz w:val="24"/>
          <w:szCs w:val="24"/>
          <w:highlight w:val="none"/>
          <w:lang w:val="en-US" w:eastAsia="zh-CN"/>
        </w:rPr>
        <w:t>中标价</w:t>
      </w:r>
      <w:r>
        <w:rPr>
          <w:rStyle w:val="39"/>
          <w:rFonts w:hint="eastAsia" w:ascii="宋体" w:hAnsi="宋体" w:eastAsia="宋体" w:cs="宋体"/>
          <w:color w:val="auto"/>
          <w:sz w:val="24"/>
          <w:szCs w:val="24"/>
          <w:highlight w:val="none"/>
        </w:rPr>
        <w:t>的</w:t>
      </w:r>
      <w:r>
        <w:rPr>
          <w:rStyle w:val="39"/>
          <w:rFonts w:hint="eastAsia" w:ascii="宋体" w:hAnsi="宋体" w:eastAsia="宋体" w:cs="宋体"/>
          <w:color w:val="auto"/>
          <w:sz w:val="24"/>
          <w:szCs w:val="24"/>
          <w:highlight w:val="none"/>
          <w:lang w:val="en-US" w:eastAsia="zh-CN"/>
        </w:rPr>
        <w:t>1.2</w:t>
      </w:r>
      <w:r>
        <w:rPr>
          <w:rStyle w:val="39"/>
          <w:rFonts w:hint="eastAsia" w:ascii="宋体" w:hAnsi="宋体" w:eastAsia="宋体" w:cs="宋体"/>
          <w:color w:val="auto"/>
          <w:sz w:val="24"/>
          <w:szCs w:val="24"/>
          <w:highlight w:val="none"/>
        </w:rPr>
        <w:t>%计算，保底价</w:t>
      </w:r>
      <w:r>
        <w:rPr>
          <w:rStyle w:val="39"/>
          <w:rFonts w:hint="eastAsia" w:ascii="宋体" w:hAnsi="宋体" w:eastAsia="宋体" w:cs="宋体"/>
          <w:color w:val="auto"/>
          <w:sz w:val="24"/>
          <w:szCs w:val="24"/>
          <w:highlight w:val="none"/>
          <w:lang w:val="en-US" w:eastAsia="zh-CN"/>
        </w:rPr>
        <w:t>2</w:t>
      </w:r>
      <w:r>
        <w:rPr>
          <w:rStyle w:val="39"/>
          <w:rFonts w:hint="eastAsia" w:ascii="宋体" w:hAnsi="宋体" w:eastAsia="宋体" w:cs="宋体"/>
          <w:color w:val="auto"/>
          <w:sz w:val="24"/>
          <w:szCs w:val="24"/>
          <w:highlight w:val="none"/>
        </w:rPr>
        <w:t>000元</w:t>
      </w:r>
      <w:r>
        <w:rPr>
          <w:rStyle w:val="39"/>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投标供应商自行考虑包含在报价内的上述费用及风险并将其综合在单价内，不得单列。</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无论招标过程和结果如何，参加投标的投标供应商自行承担与本次项目招标有关的全部费用。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Style w:val="39"/>
          <w:rFonts w:hint="eastAsia" w:ascii="宋体" w:hAnsi="宋体" w:eastAsia="宋体" w:cs="宋体"/>
          <w:b/>
          <w:bCs/>
          <w:color w:val="auto"/>
          <w:sz w:val="24"/>
          <w:szCs w:val="24"/>
          <w:highlight w:val="none"/>
          <w:lang w:val="zh-CN"/>
        </w:rPr>
      </w:pPr>
      <w:r>
        <w:rPr>
          <w:rStyle w:val="39"/>
          <w:rFonts w:hint="eastAsia" w:ascii="宋体" w:hAnsi="宋体" w:eastAsia="宋体" w:cs="宋体"/>
          <w:b/>
          <w:bCs/>
          <w:color w:val="auto"/>
          <w:sz w:val="24"/>
          <w:szCs w:val="24"/>
          <w:highlight w:val="none"/>
          <w:lang w:val="zh-CN"/>
        </w:rPr>
        <w:t>十、投标文件递交时间及地址</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Style w:val="39"/>
          <w:rFonts w:hint="eastAsia" w:ascii="宋体" w:hAnsi="宋体" w:eastAsia="宋体" w:cs="宋体"/>
          <w:b/>
          <w:bCs/>
          <w:color w:val="auto"/>
          <w:sz w:val="24"/>
          <w:szCs w:val="24"/>
          <w:highlight w:val="none"/>
          <w:lang w:val="zh-CN"/>
        </w:rPr>
      </w:pPr>
      <w:r>
        <w:rPr>
          <w:rStyle w:val="39"/>
          <w:rFonts w:hint="eastAsia" w:ascii="宋体" w:hAnsi="宋体" w:eastAsia="宋体" w:cs="宋体"/>
          <w:color w:val="auto"/>
          <w:sz w:val="24"/>
          <w:szCs w:val="24"/>
          <w:highlight w:val="none"/>
        </w:rPr>
        <w:t>投标供应商必须在规定的时间将投标文件送达指定地点，采购单位拒绝接收在截止时间后递交的投标文件。</w:t>
      </w:r>
    </w:p>
    <w:p>
      <w:pPr>
        <w:keepNext w:val="0"/>
        <w:keepLines w:val="0"/>
        <w:pageBreakBefore w:val="0"/>
        <w:widowControl/>
        <w:kinsoku/>
        <w:wordWrap/>
        <w:overflowPunct/>
        <w:topLinePunct w:val="0"/>
        <w:autoSpaceDE/>
        <w:autoSpaceDN/>
        <w:bidi w:val="0"/>
        <w:adjustRightInd/>
        <w:snapToGrid w:val="0"/>
        <w:spacing w:line="360" w:lineRule="auto"/>
        <w:ind w:firstLine="477" w:firstLineChars="199"/>
        <w:textAlignment w:val="baseline"/>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十一、未尽事宜</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按有关的法律法规的规定执行。</w:t>
      </w:r>
    </w:p>
    <w:p>
      <w:pPr>
        <w:tabs>
          <w:tab w:val="left" w:pos="1050"/>
          <w:tab w:val="right" w:leader="dot" w:pos="9402"/>
        </w:tabs>
        <w:snapToGrid w:val="0"/>
        <w:spacing w:line="520" w:lineRule="exact"/>
        <w:jc w:val="center"/>
        <w:rPr>
          <w:rStyle w:val="39"/>
          <w:rFonts w:hint="eastAsia" w:ascii="宋体" w:hAnsi="宋体" w:eastAsia="宋体" w:cs="宋体"/>
          <w:b/>
          <w:bCs/>
          <w:color w:val="auto"/>
          <w:w w:val="80"/>
          <w:sz w:val="21"/>
          <w:szCs w:val="21"/>
          <w:highlight w:val="none"/>
        </w:rPr>
        <w:sectPr>
          <w:headerReference r:id="rId11" w:type="default"/>
          <w:pgSz w:w="11906" w:h="16838"/>
          <w:pgMar w:top="1134" w:right="1134" w:bottom="1134" w:left="1134" w:header="851" w:footer="850" w:gutter="0"/>
          <w:cols w:space="720" w:num="1"/>
          <w:docGrid w:type="linesAndChars" w:linePitch="354" w:charSpace="0"/>
        </w:sectPr>
      </w:pPr>
    </w:p>
    <w:p>
      <w:pPr>
        <w:tabs>
          <w:tab w:val="left" w:pos="1050"/>
          <w:tab w:val="right" w:leader="dot" w:pos="9402"/>
        </w:tabs>
        <w:snapToGrid w:val="0"/>
        <w:spacing w:line="480" w:lineRule="exact"/>
        <w:jc w:val="center"/>
        <w:rPr>
          <w:rStyle w:val="39"/>
          <w:rFonts w:hint="eastAsia" w:ascii="宋体" w:hAnsi="宋体" w:eastAsia="宋体" w:cs="宋体"/>
          <w:b/>
          <w:color w:val="auto"/>
          <w:w w:val="80"/>
          <w:kern w:val="44"/>
          <w:sz w:val="36"/>
          <w:szCs w:val="36"/>
          <w:highlight w:val="none"/>
        </w:rPr>
      </w:pPr>
      <w:r>
        <w:rPr>
          <w:rStyle w:val="39"/>
          <w:rFonts w:hint="eastAsia" w:ascii="宋体" w:hAnsi="宋体" w:eastAsia="宋体" w:cs="宋体"/>
          <w:b/>
          <w:color w:val="auto"/>
          <w:w w:val="80"/>
          <w:kern w:val="44"/>
          <w:sz w:val="36"/>
          <w:szCs w:val="36"/>
          <w:highlight w:val="none"/>
        </w:rPr>
        <w:t>第三章  项目需求</w:t>
      </w:r>
    </w:p>
    <w:p>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一、项目背景</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博物苑由晚清状元、近代伟大的爱国主义者、著名实业家、教育家张謇于1905年创办，是中国人自己创办的第一座公共博物馆。取名为“苑”，有园林、苑囿之意，是将民族特色与科学内容相结合，融中国古代园囿与近代博物馆于一体的“园馆合一”的城市园林式综合性博物馆，在中国博物馆发展史上具有开风气之先的意义。</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南通博物苑现占地7.21万㎡，园林绿化面积占56%，建筑面积1.68万㎡，拥有历史文物与自然标本藏品近5万件，苑内400余株树木以及9种18棵古树名木郁郁葱葱，还种植了不少中草药植物，年接待游客80万人以上。</w:t>
      </w:r>
    </w:p>
    <w:p>
      <w:pPr>
        <w:keepNext w:val="0"/>
        <w:keepLines w:val="0"/>
        <w:pageBreakBefore w:val="0"/>
        <w:kinsoku/>
        <w:wordWrap/>
        <w:overflowPunct/>
        <w:topLinePunct w:val="0"/>
        <w:autoSpaceDE/>
        <w:autoSpaceDN/>
        <w:bidi w:val="0"/>
        <w:adjustRightIn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面对“园馆合一”的建筑布局以及激增的观众群体，2021年投资的200台讲解设施设备，加之使用过程中的损坏等，已不能适应当前中外观众室内外的观览需求，为此采购人亟待采购一批符合需求的</w:t>
      </w:r>
      <w:bookmarkStart w:id="6" w:name="OLE_LINK2"/>
      <w:bookmarkStart w:id="7" w:name="OLE_LINK1"/>
      <w:r>
        <w:rPr>
          <w:rFonts w:hint="eastAsia" w:ascii="宋体" w:hAnsi="宋体" w:eastAsia="宋体" w:cs="宋体"/>
          <w:color w:val="auto"/>
          <w:sz w:val="24"/>
          <w:szCs w:val="24"/>
          <w:highlight w:val="none"/>
          <w:lang w:val="en-US" w:eastAsia="zh-CN"/>
        </w:rPr>
        <w:t>多语种团队讲解器</w:t>
      </w:r>
      <w:bookmarkEnd w:id="6"/>
      <w:bookmarkEnd w:id="7"/>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二、采购清单</w:t>
      </w:r>
    </w:p>
    <w:tbl>
      <w:tblPr>
        <w:tblStyle w:val="20"/>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5761"/>
        <w:gridCol w:w="1068"/>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多语种讲解发射机</w:t>
            </w:r>
          </w:p>
        </w:tc>
        <w:tc>
          <w:tcPr>
            <w:tcW w:w="1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6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中英同传讲解发射机</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无线团队讲解接收机</w:t>
            </w:r>
          </w:p>
        </w:tc>
        <w:tc>
          <w:tcPr>
            <w:tcW w:w="1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7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充电储存箱</w:t>
            </w:r>
          </w:p>
        </w:tc>
        <w:tc>
          <w:tcPr>
            <w:tcW w:w="1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7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定制LOGO</w:t>
            </w:r>
          </w:p>
        </w:tc>
        <w:tc>
          <w:tcPr>
            <w:tcW w:w="1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76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中英同传内置软件（含翻译时长200小时）</w:t>
            </w:r>
          </w:p>
        </w:tc>
        <w:tc>
          <w:tcPr>
            <w:tcW w:w="106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r>
    </w:tbl>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三、技术参数</w:t>
      </w:r>
    </w:p>
    <w:tbl>
      <w:tblPr>
        <w:tblStyle w:val="20"/>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3"/>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5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20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参数/功能要求（包含但不限于）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5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多语种讲解发射机</w:t>
            </w:r>
          </w:p>
        </w:tc>
        <w:tc>
          <w:tcPr>
            <w:tcW w:w="7205" w:type="dxa"/>
            <w:tcBorders>
              <w:top w:val="single" w:color="auto" w:sz="4" w:space="0"/>
              <w:left w:val="nil"/>
              <w:bottom w:val="single" w:color="auto" w:sz="4" w:space="0"/>
              <w:right w:val="single" w:color="auto" w:sz="4" w:space="0"/>
            </w:tcBorders>
            <w:noWrap w:val="0"/>
            <w:vAlign w:val="center"/>
          </w:tcPr>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rPr>
              <w:t>支持</w:t>
            </w:r>
            <w:r>
              <w:rPr>
                <w:rFonts w:hint="eastAsia" w:ascii="宋体" w:hAnsi="宋体" w:eastAsia="宋体" w:cs="宋体"/>
                <w:color w:val="auto"/>
                <w:sz w:val="24"/>
                <w:szCs w:val="24"/>
                <w:highlight w:val="none"/>
                <w:lang w:val="en-US" w:eastAsia="zh-CN"/>
              </w:rPr>
              <w:t>外文语音存储传输</w:t>
            </w:r>
            <w:r>
              <w:rPr>
                <w:rFonts w:hint="eastAsia" w:ascii="宋体" w:hAnsi="宋体" w:eastAsia="宋体" w:cs="宋体"/>
                <w:color w:val="auto"/>
                <w:sz w:val="24"/>
                <w:szCs w:val="24"/>
                <w:highlight w:val="none"/>
                <w:lang w:val="en-US"/>
              </w:rPr>
              <w:t>，内置支持</w:t>
            </w:r>
            <w:r>
              <w:rPr>
                <w:rFonts w:hint="eastAsia" w:ascii="宋体" w:hAnsi="宋体" w:eastAsia="宋体" w:cs="宋体"/>
                <w:color w:val="auto"/>
                <w:sz w:val="24"/>
                <w:szCs w:val="24"/>
                <w:highlight w:val="none"/>
                <w:lang w:val="en-US" w:eastAsia="zh-CN"/>
              </w:rPr>
              <w:t>英、日、韩等多</w:t>
            </w:r>
            <w:r>
              <w:rPr>
                <w:rFonts w:hint="eastAsia" w:ascii="宋体" w:hAnsi="宋体" w:eastAsia="宋体" w:cs="宋体"/>
                <w:color w:val="auto"/>
                <w:sz w:val="24"/>
                <w:szCs w:val="24"/>
                <w:highlight w:val="none"/>
                <w:lang w:val="en-US"/>
              </w:rPr>
              <w:t>语种选择；</w:t>
            </w:r>
            <w:r>
              <w:rPr>
                <w:rFonts w:hint="eastAsia" w:ascii="宋体" w:hAnsi="宋体" w:eastAsia="宋体" w:cs="宋体"/>
                <w:color w:val="auto"/>
                <w:sz w:val="24"/>
                <w:szCs w:val="24"/>
                <w:highlight w:val="none"/>
                <w:lang w:val="en-US" w:eastAsia="zh-CN"/>
              </w:rPr>
              <w:t>（提供英、日、韩翻译和录音服务）。</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zh-CN" w:eastAsia="zh-CN" w:bidi="ar-SA"/>
              </w:rPr>
              <w:t>2.</w:t>
            </w:r>
            <w:r>
              <w:rPr>
                <w:rFonts w:hint="eastAsia" w:ascii="宋体" w:hAnsi="宋体" w:eastAsia="宋体" w:cs="宋体"/>
                <w:color w:val="auto"/>
                <w:sz w:val="24"/>
                <w:szCs w:val="24"/>
                <w:highlight w:val="none"/>
                <w:lang w:val="zh-CN" w:eastAsia="zh-CN"/>
              </w:rPr>
              <w:t>频道数：≧</w:t>
            </w:r>
            <w:r>
              <w:rPr>
                <w:rFonts w:hint="eastAsia" w:ascii="宋体" w:hAnsi="宋体" w:eastAsia="宋体" w:cs="宋体"/>
                <w:color w:val="auto"/>
                <w:sz w:val="24"/>
                <w:szCs w:val="24"/>
                <w:highlight w:val="none"/>
                <w:lang w:val="en-US" w:eastAsia="zh-CN"/>
              </w:rPr>
              <w:t>65536</w:t>
            </w:r>
            <w:r>
              <w:rPr>
                <w:rFonts w:hint="eastAsia" w:ascii="宋体" w:hAnsi="宋体" w:eastAsia="宋体" w:cs="宋体"/>
                <w:color w:val="auto"/>
                <w:sz w:val="24"/>
                <w:szCs w:val="24"/>
                <w:highlight w:val="none"/>
                <w:lang w:val="zh-CN" w:eastAsia="zh-CN"/>
              </w:rPr>
              <w:t>个；</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sz w:val="24"/>
                <w:szCs w:val="24"/>
                <w:highlight w:val="none"/>
                <w:lang w:val="en-US" w:eastAsia="zh-CN"/>
              </w:rPr>
              <w:t>具备多个快捷按键，可实现</w:t>
            </w:r>
            <w:r>
              <w:rPr>
                <w:rFonts w:hint="eastAsia" w:ascii="宋体" w:hAnsi="宋体" w:eastAsia="宋体" w:cs="宋体"/>
                <w:color w:val="auto"/>
                <w:sz w:val="24"/>
                <w:szCs w:val="24"/>
                <w:highlight w:val="none"/>
                <w:lang w:val="zh-CN" w:eastAsia="zh-CN"/>
              </w:rPr>
              <w:t>匹配、</w:t>
            </w:r>
            <w:r>
              <w:rPr>
                <w:rFonts w:hint="eastAsia" w:ascii="宋体" w:hAnsi="宋体" w:eastAsia="宋体" w:cs="宋体"/>
                <w:color w:val="auto"/>
                <w:sz w:val="24"/>
                <w:szCs w:val="24"/>
                <w:highlight w:val="none"/>
                <w:lang w:val="en-US" w:eastAsia="zh-CN"/>
              </w:rPr>
              <w:t>静音、开机、菜单调节、</w:t>
            </w:r>
            <w:r>
              <w:rPr>
                <w:rFonts w:hint="eastAsia" w:ascii="宋体" w:hAnsi="宋体" w:eastAsia="宋体" w:cs="宋体"/>
                <w:color w:val="auto"/>
                <w:sz w:val="24"/>
                <w:szCs w:val="24"/>
                <w:highlight w:val="none"/>
                <w:lang w:val="zh-CN" w:eastAsia="zh-CN"/>
              </w:rPr>
              <w:t>音量调节、</w:t>
            </w:r>
            <w:r>
              <w:rPr>
                <w:rFonts w:hint="eastAsia" w:ascii="宋体" w:hAnsi="宋体" w:eastAsia="宋体" w:cs="宋体"/>
                <w:color w:val="auto"/>
                <w:sz w:val="24"/>
                <w:szCs w:val="24"/>
                <w:highlight w:val="none"/>
                <w:lang w:val="en-US" w:eastAsia="zh-CN"/>
              </w:rPr>
              <w:t>按键锁定等</w:t>
            </w:r>
            <w:r>
              <w:rPr>
                <w:rFonts w:hint="eastAsia" w:ascii="宋体" w:hAnsi="宋体" w:eastAsia="宋体" w:cs="宋体"/>
                <w:color w:val="auto"/>
                <w:sz w:val="24"/>
                <w:szCs w:val="24"/>
                <w:highlight w:val="none"/>
                <w:lang w:val="zh-CN" w:eastAsia="zh-CN"/>
              </w:rPr>
              <w:t>功能，操作简单；</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zh-CN" w:eastAsia="zh-CN"/>
              </w:rPr>
              <w:t>采用数字音频编解码技术，音质清晰，可以满足各种场所的讲解需求；</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具备3.5mm音频接口，外接麦克风进行讲解，</w:t>
            </w:r>
            <w:r>
              <w:rPr>
                <w:rFonts w:hint="eastAsia" w:ascii="宋体" w:hAnsi="宋体" w:eastAsia="宋体" w:cs="宋体"/>
                <w:color w:val="auto"/>
                <w:sz w:val="24"/>
                <w:szCs w:val="24"/>
                <w:highlight w:val="none"/>
                <w:lang w:val="en-US"/>
              </w:rPr>
              <w:t>具备内置麦克风；</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zh-CN" w:eastAsia="zh-CN" w:bidi="ar-SA"/>
              </w:rPr>
              <w:t>6.</w:t>
            </w:r>
            <w:r>
              <w:rPr>
                <w:rFonts w:hint="eastAsia" w:ascii="宋体" w:hAnsi="宋体" w:eastAsia="宋体" w:cs="宋体"/>
                <w:color w:val="auto"/>
                <w:sz w:val="24"/>
                <w:szCs w:val="24"/>
                <w:highlight w:val="none"/>
                <w:lang w:val="en-US" w:eastAsia="zh-CN"/>
              </w:rPr>
              <w:t>支持配对无线麦克风讲解；</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zh-CN" w:eastAsia="zh-CN" w:bidi="ar-SA"/>
              </w:rPr>
              <w:t>7.</w:t>
            </w:r>
            <w:r>
              <w:rPr>
                <w:rFonts w:hint="eastAsia" w:ascii="宋体" w:hAnsi="宋体" w:eastAsia="宋体" w:cs="宋体"/>
                <w:color w:val="auto"/>
                <w:sz w:val="24"/>
                <w:szCs w:val="24"/>
                <w:highlight w:val="none"/>
                <w:lang w:val="en-US" w:eastAsia="zh-CN"/>
              </w:rPr>
              <w:t>音频采样率：</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48Khz；</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zh-CN" w:eastAsia="zh-CN"/>
              </w:rPr>
              <w:t>配备</w:t>
            </w:r>
            <w:r>
              <w:rPr>
                <w:rFonts w:hint="eastAsia" w:ascii="宋体" w:hAnsi="宋体" w:eastAsia="宋体" w:cs="宋体"/>
                <w:color w:val="auto"/>
                <w:sz w:val="24"/>
                <w:szCs w:val="24"/>
                <w:highlight w:val="none"/>
                <w:lang w:val="en-US" w:eastAsia="zh-CN"/>
              </w:rPr>
              <w:t>IPS</w:t>
            </w:r>
            <w:r>
              <w:rPr>
                <w:rFonts w:hint="eastAsia" w:ascii="宋体" w:hAnsi="宋体" w:eastAsia="宋体" w:cs="宋体"/>
                <w:color w:val="auto"/>
                <w:sz w:val="24"/>
                <w:szCs w:val="24"/>
                <w:highlight w:val="none"/>
                <w:lang w:val="zh-CN" w:eastAsia="zh-CN"/>
              </w:rPr>
              <w:t>显示屏，显示</w:t>
            </w:r>
            <w:r>
              <w:rPr>
                <w:rFonts w:hint="eastAsia" w:ascii="宋体" w:hAnsi="宋体" w:eastAsia="宋体" w:cs="宋体"/>
                <w:color w:val="auto"/>
                <w:sz w:val="24"/>
                <w:szCs w:val="24"/>
                <w:highlight w:val="none"/>
                <w:lang w:val="en-US" w:eastAsia="zh-CN"/>
              </w:rPr>
              <w:t>设备ID、</w:t>
            </w:r>
            <w:r>
              <w:rPr>
                <w:rFonts w:hint="eastAsia" w:ascii="宋体" w:hAnsi="宋体" w:eastAsia="宋体" w:cs="宋体"/>
                <w:color w:val="auto"/>
                <w:sz w:val="24"/>
                <w:szCs w:val="24"/>
                <w:highlight w:val="none"/>
                <w:lang w:val="zh-CN" w:eastAsia="zh-CN"/>
              </w:rPr>
              <w:t>音量、电量</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val="zh-CN" w:eastAsia="zh-CN"/>
              </w:rPr>
              <w:t>指示等信息</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rPr>
              <w:t>支持MP3格式音频文件存储播放功能；</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rPr>
              <w:t>一台发射机可匹配不少于50台接收机，发射机、接收机套组可配充电、消毒、存储一体箱统一管理；</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rPr>
              <w:t>采用高性能锂电池供电，连续使用时间8小时以上，充电时间不超过2.5小时；</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rPr>
              <w:t>支持讲解录音功能；</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rPr>
              <w:t>支持自动跳频功能，能自动避开干扰，多台发射机同时使用互不干扰。</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支持自定义调节EQ，可根据讲解员的音色适当调节改善讲解效果</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rPr>
              <w:t>支持无线批量关闭团队接收机；</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rPr>
              <w:t>支持频道、音量记忆功能，开机后自动恢复到上一次关机前的状态；</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val="en-US"/>
              </w:rPr>
              <w:t>具备功率设置功能。可根据团队大小设置发射功率，在满足讲解效果的同时有效降低发射功耗，延长使用时间；</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lang w:val="en-US" w:eastAsia="zh-CN"/>
              </w:rPr>
              <w:t>具备一键静音功能；</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19.</w:t>
            </w:r>
            <w:r>
              <w:rPr>
                <w:rFonts w:hint="eastAsia" w:ascii="宋体" w:hAnsi="宋体" w:eastAsia="宋体" w:cs="宋体"/>
                <w:color w:val="auto"/>
                <w:sz w:val="24"/>
                <w:szCs w:val="24"/>
                <w:highlight w:val="none"/>
                <w:lang w:val="en-US" w:eastAsia="zh-CN"/>
              </w:rPr>
              <w:t>具备一键锁定功能，锁定后按键无效，防止使用中误操作；</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20.</w:t>
            </w:r>
            <w:r>
              <w:rPr>
                <w:rFonts w:hint="eastAsia" w:ascii="宋体" w:hAnsi="宋体" w:eastAsia="宋体" w:cs="宋体"/>
                <w:color w:val="auto"/>
                <w:sz w:val="24"/>
                <w:szCs w:val="24"/>
                <w:highlight w:val="none"/>
                <w:lang w:val="en-US" w:eastAsia="zh-CN"/>
              </w:rPr>
              <w:t>具备恢复出厂参数功能，可一键恢复出厂参数；</w:t>
            </w:r>
          </w:p>
          <w:p>
            <w:pPr>
              <w:widowControl/>
              <w:numPr>
                <w:ilvl w:val="-1"/>
                <w:numId w:val="0"/>
              </w:numPr>
              <w:adjustRightInd/>
              <w:snapToGrid/>
              <w:spacing w:line="24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21.具有音量调节功能，共20档音量档位可供调节。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53"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中英同传</w:t>
            </w:r>
            <w:r>
              <w:rPr>
                <w:rFonts w:hint="eastAsia" w:ascii="宋体" w:hAnsi="宋体" w:eastAsia="宋体" w:cs="宋体"/>
                <w:color w:val="auto"/>
                <w:sz w:val="24"/>
                <w:szCs w:val="24"/>
                <w:highlight w:val="none"/>
              </w:rPr>
              <w:t>讲解发射机</w:t>
            </w:r>
          </w:p>
        </w:tc>
        <w:tc>
          <w:tcPr>
            <w:tcW w:w="7205" w:type="dxa"/>
            <w:tcBorders>
              <w:top w:val="single" w:color="auto" w:sz="4" w:space="0"/>
              <w:left w:val="nil"/>
              <w:bottom w:val="single" w:color="auto" w:sz="4" w:space="0"/>
              <w:right w:val="single" w:color="auto" w:sz="4" w:space="0"/>
            </w:tcBorders>
            <w:shd w:val="clear" w:color="auto" w:fill="auto"/>
            <w:noWrap w:val="0"/>
            <w:vAlign w:val="center"/>
          </w:tcPr>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rPr>
              <w:t>支持中英文实时同传；</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频道数：≧65536个；</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具备多个快捷按键，可实现匹配、静音、开机、菜单调节、音量调节、按键锁定等功能，操作简单；</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采用数字音频编解码技术，音质清晰，可以满足各种场所的讲解需求；</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具备3.5mm音频接口，外接麦克风进行讲解，</w:t>
            </w:r>
            <w:r>
              <w:rPr>
                <w:rFonts w:hint="eastAsia" w:ascii="宋体" w:hAnsi="宋体" w:eastAsia="宋体" w:cs="宋体"/>
                <w:color w:val="auto"/>
                <w:sz w:val="24"/>
                <w:szCs w:val="24"/>
                <w:highlight w:val="none"/>
              </w:rPr>
              <w:t>具备内置麦克风；</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音频采样率：≧48Khz；</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配备IPS显示屏，显示设备ID、音量、电量等指示等信息</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支持MP3格式音频文件存储播放功能；</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一台发射机可匹配不少于50台接收机，发射机、接收机套组可配充电、消毒、存储一体箱统一管理；</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采用高性能锂电池供电，连续使用时间8小时以上，充电时间不超过2.5小时；</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支持讲解录音功能；</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rPr>
              <w:t>支持频道、音量记忆功能，开机后自动恢复到上一次关机前的状态；</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rPr>
              <w:t>具备功率设置功能。可根据团队大小设置发射功率，在满足讲解效果的同时有效降低发射功耗，延长使用时间；</w:t>
            </w:r>
          </w:p>
          <w:p>
            <w:pPr>
              <w:widowControl/>
              <w:numPr>
                <w:ilvl w:val="-1"/>
                <w:numId w:val="0"/>
              </w:numPr>
              <w:adjustRightInd/>
              <w:snapToGrid/>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具备一键静音功能；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45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无线团队讲解接收机</w:t>
            </w:r>
          </w:p>
        </w:tc>
        <w:tc>
          <w:tcPr>
            <w:tcW w:w="7205" w:type="dxa"/>
            <w:tcBorders>
              <w:top w:val="single" w:color="auto" w:sz="4" w:space="0"/>
              <w:left w:val="nil"/>
              <w:bottom w:val="single" w:color="auto" w:sz="4" w:space="0"/>
              <w:right w:val="single" w:color="auto" w:sz="4" w:space="0"/>
            </w:tcBorders>
            <w:noWrap w:val="0"/>
            <w:vAlign w:val="center"/>
          </w:tcPr>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频道数：≧1000个；</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接收距离（L.O.S）：≧150米；</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外形尺寸：不超过67*49*19mm</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佩戴方式：左右耳非入耳式挂耳佩戴，耳机重量：≤21g；</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具备呼吸指示灯，清晰指示接收机的工作状态；</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具备磁吸触点式多用途接口，便捷耐用，同时支持快速充电和数据传输；</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内置高性能锂电池供电，超低功耗设计，连续使用时间10小时以上，充电时间不超过2小时；</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具有电量监测和低电量提醒功能；</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可配充电、消毒、存储一体箱，并可通过充电箱进行一键批量设置；</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带有脱团提醒功能，当游客脱离团队范围时，接收机自动语音提醒游客“请跟上团队”，避免游客脱团、掉队。</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可自动锁定已匹配的频道，无需每次手动调节，拿起即用，发射机关机，接收机自动休眠，发射机开机，接收机三秒入团；</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具有音量调节触摸按键，佩戴时也可以方便的随时调节音量，共5档；</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具备红、绿、蓝等多色呼吸指示灯，清晰指示接收机的工作状态；</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支持自动跳频功能，能自动避开干扰，多团队同时使用互不干扰；</w:t>
            </w:r>
          </w:p>
          <w:p>
            <w:pPr>
              <w:widowControl/>
              <w:numPr>
                <w:ilvl w:val="-1"/>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eastAsia="zh-CN"/>
              </w:rPr>
              <w:t>耳机与接收机一体化集成设计；</w:t>
            </w:r>
          </w:p>
          <w:p>
            <w:pPr>
              <w:numPr>
                <w:ilvl w:val="-1"/>
                <w:numId w:val="0"/>
              </w:num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eastAsia="zh-CN"/>
              </w:rPr>
              <w:t>得益于更轻的重量及人体工程学设计，经过反复测试，小耳、大耳人群均可稳固佩戴；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45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充电储存箱</w:t>
            </w:r>
          </w:p>
        </w:tc>
        <w:tc>
          <w:tcPr>
            <w:tcW w:w="7205" w:type="dxa"/>
            <w:tcBorders>
              <w:top w:val="single" w:color="auto" w:sz="4" w:space="0"/>
              <w:left w:val="nil"/>
              <w:bottom w:val="single" w:color="auto" w:sz="4" w:space="0"/>
              <w:right w:val="single" w:color="auto" w:sz="4" w:space="0"/>
            </w:tcBorders>
            <w:noWrap w:val="0"/>
            <w:vAlign w:val="center"/>
          </w:tcPr>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接收机采用座式充电，可</w:t>
            </w:r>
            <w:r>
              <w:rPr>
                <w:rFonts w:hint="eastAsia" w:ascii="宋体" w:hAnsi="宋体" w:eastAsia="宋体" w:cs="宋体"/>
                <w:color w:val="auto"/>
                <w:sz w:val="24"/>
                <w:szCs w:val="24"/>
                <w:highlight w:val="none"/>
              </w:rPr>
              <w:t>同时</w:t>
            </w:r>
            <w:r>
              <w:rPr>
                <w:rFonts w:hint="eastAsia" w:ascii="宋体" w:hAnsi="宋体" w:eastAsia="宋体" w:cs="宋体"/>
                <w:color w:val="auto"/>
                <w:sz w:val="24"/>
                <w:szCs w:val="24"/>
                <w:highlight w:val="none"/>
                <w:lang w:val="en-US" w:eastAsia="zh-CN"/>
              </w:rPr>
              <w:t>对50台设备进行充电；</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具备2个USB充电接口，可对发射机、消毒灯或其他设备充电；</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具备一键设置功能，发射机可通过充电箱直接对接收机进行批量设置；</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外壳采用防火材质，保证用电安全；</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采用可拆卸式消毒灯，消毒灯内置电池，可在充电箱断电状态使用，安全卫生；</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电源线带有漏电保护功能，确保用电安全；</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配备设备专用托盘，方便给听众发放接收机；</w:t>
            </w:r>
          </w:p>
          <w:p>
            <w:pPr>
              <w:numPr>
                <w:ilvl w:val="0"/>
                <w:numId w:val="0"/>
              </w:num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充电箱具备收纳空间，上盖可收纳电源线、托盘、发射机、麦克风等，并配有网兜可拓展收纳。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53"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定制logo</w:t>
            </w:r>
          </w:p>
        </w:tc>
        <w:tc>
          <w:tcPr>
            <w:tcW w:w="7205" w:type="dxa"/>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adjustRightInd/>
              <w:snapToGrid/>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接收机机身绘制南通博物苑logo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53"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中英同传内置软件（含翻译时长100小时）</w:t>
            </w:r>
          </w:p>
        </w:tc>
        <w:tc>
          <w:tcPr>
            <w:tcW w:w="7205" w:type="dxa"/>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识别准确率：理想场景下≥95%，复杂环境（如噪音、口音）下≥85%。</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延迟：端到端延迟需≤</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00ms，确保实时性。</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双语对照：输出原文与译文同步显示，支持双语分屏或字幕叠加</w:t>
            </w:r>
            <w:r>
              <w:rPr>
                <w:rFonts w:hint="eastAsia" w:ascii="宋体" w:hAnsi="宋体" w:eastAsia="宋体" w:cs="宋体"/>
                <w:color w:val="auto"/>
                <w:sz w:val="24"/>
                <w:szCs w:val="24"/>
                <w:highlight w:val="none"/>
                <w:lang w:eastAsia="zh-CN"/>
              </w:rPr>
              <w:t>。</w:t>
            </w:r>
          </w:p>
          <w:p>
            <w:pPr>
              <w:widowControl/>
              <w:numPr>
                <w:ilvl w:val="0"/>
                <w:numId w:val="0"/>
              </w:numPr>
              <w:adjustRightInd/>
              <w:snapToGrid/>
              <w:spacing w:line="240" w:lineRule="auto"/>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一键切换讲解模式、音量调节</w:t>
            </w:r>
          </w:p>
          <w:p>
            <w:pPr>
              <w:widowControl/>
              <w:numPr>
                <w:ilvl w:val="0"/>
                <w:numId w:val="0"/>
              </w:numPr>
              <w:adjustRightInd/>
              <w:snapToGrid/>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功耗：连续工作2小时，设备温升≤10°C</w:t>
            </w:r>
          </w:p>
          <w:p>
            <w:pPr>
              <w:widowControl/>
              <w:numPr>
                <w:ilvl w:val="0"/>
                <w:numId w:val="0"/>
              </w:numPr>
              <w:adjustRightInd/>
              <w:snapToGrid/>
              <w:spacing w:line="240" w:lineRule="auto"/>
              <w:ind w:left="0" w:leftChars="0"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6.软件定制开发内置于发射机内，可直接配合设备使用。</w:t>
            </w:r>
          </w:p>
        </w:tc>
      </w:tr>
    </w:tbl>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备注：上表技术要求中加“▲”号指标应在响应文件中提供技术支持资料并加盖公章（如白皮书、彩页、手册等），未提供技术支持资料的，视同未对采购文件要求作出响应，评审时不予认可。</w:t>
      </w:r>
    </w:p>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四、产品质量及售后服务要求</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（一）产品质量要求</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的所有产品（包含配件）应是全新的、未使用过的原装合格正品，并保证所提供货物的开箱合格率为100％，外观和内在质量都不得有任何问题。在规定的质保期内，供应商应对由于设计、工艺或材料的缺陷或故障负责。在未验收前，产品保管、安全均由供应商负责。</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（二）售后服务要求</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1.质保时间和要求</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保期须不低于1年。所有货物的免费质量保证期按照国家、行业相关标准及生产厂家规定执行。在免费质量保证期内，因货物制造原因出现的任何质量问题，供应商负责更换或维修，由此产生的一切费用由供应商承担。</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免费技术培训：供应商可对采购单位设备操作及管理人员进行必要的技术培训，使采购单位人员能够对设备进行熟练地操作、管理及日常维修维护。培训人员为供应商经认证的高级工程师；培训时间及地点由采购人指定。</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2.售后服务要求</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（1）响应时间：在质量保证期内（质保期从货到验收合格之日起），由于设备原因而发生的质量问题，供应商提供免费的维修服务，供应商在接到采购人的维修要求后，故障报修响应时间不超过2小时。</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（2）提供上门服务。如果电话指导无法解决，供应商将派专业技术人员到现场上门服务解决采购单位的问题。</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（3）供应商实行售后服务人员7×24小时工作制，对采购单位的咨询电话进行即时技术辅导。并及时对解决问题的情况进行电话跟踪，直到达到采购单位满意。</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（4）技术支持服务：采购单位在设备使用的过程中如遇到任何问题，可寻求技术支持服务，由专业售后服务人员为采购单位解决产品使用过程中遇到的各类问题。</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定期电话巡检：质保期内每月进行一次，了解采购单位的意见及建议，如有必要将立即派遣专业技术人员赶赴现场。巡检后由供应商工程师详细填写巡检报告，并附在采购单位档案当中，作为今后维护的参考资料。</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（6）定期检测维护：供应商可提供定期检测、维护保养服务，以提高设备性能及使用寿命，由供应商专业技术人员赴现场提供服务。</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终身维护维修：供应商对所供设备或软件提供及时、良好、完整的终身维护维修服务，并保证采购单位可以更换到供应商原厂正宗的零部件，确保设备的正常使用，超过免费质保期，如需维修或更换部件、配件仅收取成本费用。</w:t>
      </w:r>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五、合同履行期限</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合同签订后30日内完成送货、安装调试、培训等项目交付流程。</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合同签订后支付合同总价的60%，设备交付验收合格后支付余款。</w:t>
      </w:r>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七、其他要求</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（一）供应商所提供的货物技术资料完整正确。</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（二）采购人使用该货物的任何一部分，当受第三方提出的侵犯其专利权、商标权或工业设计权的投诉时，一切后果由供应商负责。</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（三）如未能达到合同要求，采购人有权退货并要求供应商赔偿损失。</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（四）交付地点：南通博物苑。</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（五）供应商的任何错漏、优惠不得作为减轻责任、增加收费、降低质量的理由。</w:t>
      </w:r>
    </w:p>
    <w:p>
      <w:pPr>
        <w:snapToGrid w:val="0"/>
        <w:spacing w:line="480" w:lineRule="exact"/>
        <w:jc w:val="center"/>
        <w:rPr>
          <w:rStyle w:val="39"/>
          <w:rFonts w:hint="eastAsia" w:ascii="宋体" w:hAnsi="宋体" w:eastAsia="宋体" w:cs="宋体"/>
          <w:b/>
          <w:color w:val="auto"/>
          <w:w w:val="80"/>
          <w:kern w:val="44"/>
          <w:sz w:val="36"/>
          <w:szCs w:val="36"/>
          <w:highlight w:val="none"/>
        </w:rPr>
      </w:pPr>
    </w:p>
    <w:p>
      <w:pPr>
        <w:snapToGrid w:val="0"/>
        <w:spacing w:line="480" w:lineRule="exact"/>
        <w:jc w:val="center"/>
        <w:rPr>
          <w:rStyle w:val="39"/>
          <w:rFonts w:hint="eastAsia" w:ascii="宋体" w:hAnsi="宋体" w:eastAsia="宋体" w:cs="宋体"/>
          <w:b/>
          <w:color w:val="auto"/>
          <w:w w:val="80"/>
          <w:kern w:val="44"/>
          <w:sz w:val="36"/>
          <w:szCs w:val="36"/>
          <w:highlight w:val="none"/>
        </w:rPr>
      </w:pPr>
      <w:r>
        <w:rPr>
          <w:rStyle w:val="39"/>
          <w:rFonts w:hint="eastAsia" w:ascii="宋体" w:hAnsi="宋体" w:eastAsia="宋体" w:cs="宋体"/>
          <w:b/>
          <w:color w:val="auto"/>
          <w:w w:val="80"/>
          <w:kern w:val="44"/>
          <w:sz w:val="36"/>
          <w:szCs w:val="36"/>
          <w:highlight w:val="none"/>
        </w:rPr>
        <w:br w:type="page"/>
      </w:r>
      <w:r>
        <w:rPr>
          <w:rStyle w:val="39"/>
          <w:rFonts w:hint="eastAsia" w:ascii="宋体" w:hAnsi="宋体" w:eastAsia="宋体" w:cs="宋体"/>
          <w:b/>
          <w:color w:val="auto"/>
          <w:w w:val="80"/>
          <w:kern w:val="44"/>
          <w:sz w:val="36"/>
          <w:szCs w:val="36"/>
          <w:highlight w:val="none"/>
        </w:rPr>
        <w:t>第四章  评审方法和程序</w:t>
      </w:r>
    </w:p>
    <w:p>
      <w:pPr>
        <w:snapToGrid w:val="0"/>
        <w:ind w:firstLine="487" w:firstLineChars="202"/>
        <w:rPr>
          <w:rStyle w:val="39"/>
          <w:rFonts w:hint="eastAsia" w:ascii="宋体" w:hAnsi="宋体" w:eastAsia="宋体" w:cs="宋体"/>
          <w:b/>
          <w:color w:val="auto"/>
          <w:sz w:val="24"/>
          <w:szCs w:val="24"/>
          <w:highlight w:val="none"/>
        </w:rPr>
      </w:pPr>
    </w:p>
    <w:p>
      <w:pPr>
        <w:snapToGrid w:val="0"/>
        <w:ind w:firstLine="487"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一、采购人委托招标代理机构组织开标</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成立</w:t>
      </w:r>
      <w:r>
        <w:rPr>
          <w:rStyle w:val="39"/>
          <w:rFonts w:hint="eastAsia" w:ascii="宋体" w:hAnsi="宋体" w:eastAsia="宋体" w:cs="宋体"/>
          <w:color w:val="auto"/>
          <w:sz w:val="24"/>
          <w:szCs w:val="24"/>
          <w:highlight w:val="none"/>
          <w:lang w:eastAsia="zh-CN"/>
        </w:rPr>
        <w:t>评标委员会</w:t>
      </w:r>
      <w:r>
        <w:rPr>
          <w:rStyle w:val="39"/>
          <w:rFonts w:hint="eastAsia" w:ascii="宋体" w:hAnsi="宋体" w:eastAsia="宋体" w:cs="宋体"/>
          <w:color w:val="auto"/>
          <w:sz w:val="24"/>
          <w:szCs w:val="24"/>
          <w:highlight w:val="none"/>
        </w:rPr>
        <w:t>，由采购人代表和有关专家依法组成。</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投标供应商的法定代表人或被授权人须持身份证准时参加投标会。</w:t>
      </w:r>
    </w:p>
    <w:p>
      <w:pPr>
        <w:snapToGrid w:val="0"/>
        <w:ind w:firstLine="487"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二、开标</w:t>
      </w:r>
    </w:p>
    <w:p>
      <w:pPr>
        <w:snapToGrid w:val="0"/>
        <w:ind w:firstLine="484" w:firstLineChars="202"/>
        <w:jc w:val="left"/>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采购代理机构主持开标并记录，及时处理投标供应商代表提出的询问或者回避申请。</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投标供应商不足3家的不得开标，相应处理方式见本招标文件第四章第十一条的规定。</w:t>
      </w:r>
    </w:p>
    <w:p>
      <w:pPr>
        <w:snapToGrid w:val="0"/>
        <w:ind w:firstLine="487"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三、资格审查</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开标后，根据招标文件载明的资格审查要求，对投标供应商的资格进行审查。</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资格审查合格的供应商进入评标。</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合格投标供应商不足3家的，不得评标，相应处理方式见本招标文件第四章第十一条的规定。</w:t>
      </w:r>
    </w:p>
    <w:p>
      <w:pPr>
        <w:snapToGrid w:val="0"/>
        <w:ind w:firstLine="487"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四、评标</w:t>
      </w:r>
    </w:p>
    <w:p>
      <w:pPr>
        <w:snapToGrid w:val="0"/>
        <w:ind w:firstLine="484"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评标时间：</w:t>
      </w:r>
      <w:r>
        <w:rPr>
          <w:rStyle w:val="39"/>
          <w:rFonts w:hint="eastAsia" w:ascii="宋体" w:hAnsi="宋体" w:eastAsia="宋体" w:cs="宋体"/>
          <w:b/>
          <w:color w:val="auto"/>
          <w:sz w:val="24"/>
          <w:szCs w:val="24"/>
          <w:highlight w:val="none"/>
        </w:rPr>
        <w:t>资格审查结束以后。</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采购代理机构负责组织评标工作，并履行下列职责：</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（1）核对评审专家身份和采购人代表授权函，对评审专家在</w:t>
      </w:r>
      <w:r>
        <w:rPr>
          <w:rStyle w:val="39"/>
          <w:rFonts w:hint="eastAsia" w:ascii="宋体" w:hAnsi="宋体" w:eastAsia="宋体" w:cs="宋体"/>
          <w:color w:val="auto"/>
          <w:sz w:val="24"/>
          <w:szCs w:val="24"/>
          <w:highlight w:val="none"/>
          <w:lang w:eastAsia="zh-CN"/>
        </w:rPr>
        <w:t>采购活动</w:t>
      </w:r>
      <w:r>
        <w:rPr>
          <w:rStyle w:val="39"/>
          <w:rFonts w:hint="eastAsia" w:ascii="宋体" w:hAnsi="宋体" w:eastAsia="宋体" w:cs="宋体"/>
          <w:color w:val="auto"/>
          <w:sz w:val="24"/>
          <w:szCs w:val="24"/>
          <w:highlight w:val="none"/>
        </w:rPr>
        <w:t>中的职责履行情况予以记录，并及时将有关违法违规行为向</w:t>
      </w:r>
      <w:r>
        <w:rPr>
          <w:rStyle w:val="39"/>
          <w:rFonts w:hint="eastAsia" w:ascii="宋体" w:hAnsi="宋体" w:eastAsia="宋体" w:cs="宋体"/>
          <w:color w:val="auto"/>
          <w:sz w:val="24"/>
          <w:szCs w:val="24"/>
          <w:highlight w:val="none"/>
          <w:lang w:val="en-US" w:eastAsia="zh-CN"/>
        </w:rPr>
        <w:t>相关</w:t>
      </w:r>
      <w:r>
        <w:rPr>
          <w:rStyle w:val="39"/>
          <w:rFonts w:hint="eastAsia" w:ascii="宋体" w:hAnsi="宋体" w:eastAsia="宋体" w:cs="宋体"/>
          <w:color w:val="auto"/>
          <w:sz w:val="24"/>
          <w:szCs w:val="24"/>
          <w:highlight w:val="none"/>
        </w:rPr>
        <w:t>部门报告。</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（2）宣布评标纪律。</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（3）公布投标供应商名单，告知评审专家应当回避的情形。</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（4）组织评标委员会推选评标组长，采购人代表不得担任组长。</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（5）在评标期间采取必要的通讯管理措施，保证评标活动不受外界干扰；除采购人代表、评标现场组织人员外，采购人的其他工作人员以及与评标工作无关的人员不得进入评标现场。</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（6）根据评标委员会的要求介绍相关政策法规、招标文件。</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（8）核对评标结果，有下列规定情形的，要求评标委员会复核或者书面说明理由，评标委员会拒绝的，则予以书面记录并向</w:t>
      </w:r>
      <w:r>
        <w:rPr>
          <w:rStyle w:val="39"/>
          <w:rFonts w:hint="eastAsia" w:ascii="宋体" w:hAnsi="宋体" w:eastAsia="宋体" w:cs="宋体"/>
          <w:color w:val="auto"/>
          <w:sz w:val="24"/>
          <w:szCs w:val="24"/>
          <w:highlight w:val="none"/>
          <w:lang w:val="en-US" w:eastAsia="zh-CN"/>
        </w:rPr>
        <w:t>相关</w:t>
      </w:r>
      <w:r>
        <w:rPr>
          <w:rStyle w:val="39"/>
          <w:rFonts w:hint="eastAsia" w:ascii="宋体" w:hAnsi="宋体" w:eastAsia="宋体" w:cs="宋体"/>
          <w:color w:val="auto"/>
          <w:sz w:val="24"/>
          <w:szCs w:val="24"/>
          <w:highlight w:val="none"/>
        </w:rPr>
        <w:t>部门报告：</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① 分值汇总计算错误的；</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② 分项评分超出评分标准范围的；</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③ 评标委员会成员对客观评审因素评分不一致的；</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④ 经评标委员会认定评分畸高、畸低的。</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（10）处理与评标有关的其他事项。</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评标委员会负责具体评标事务：</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1）独立履行审查、评价合格投标供应商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2）对于投标文件中含义不明确、同类问题表述不一致或者有明显文字和计算错误的内容，评标委员会应当以书面形式要求投标供应商作出必要的澄清、说明或者补正。投标供应商的澄清、说明或者补正，应当采用书面形式由投标供应商代表签字，但不得超出招标文件的范围或者改变其实质性内容。</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5.</w:t>
      </w:r>
      <w:r>
        <w:rPr>
          <w:rStyle w:val="39"/>
          <w:rFonts w:hint="eastAsia" w:ascii="宋体" w:hAnsi="宋体" w:eastAsia="宋体" w:cs="宋体"/>
          <w:color w:val="auto"/>
          <w:sz w:val="24"/>
          <w:szCs w:val="24"/>
          <w:highlight w:val="none"/>
        </w:rPr>
        <w:t>评标委员会成员独立履行以下职责与义务：</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（1）遵纪守法，客观、公正、廉洁地履行职责；</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（2）审查合格投标供应商的投标文件是否实质性响应招标文件要求，并做出评价；</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（3）按照招标文件规定的评标办法和评标标准进行评标，对评审意见承担个人责任；</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（4）可以要求投标供应商对投标文件有关事项做出解释或澄清；</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（5）对评标过程和结果，以及投标供应商的商业秘密保密；</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（6）配合相关部门的投诉处理工作；</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（7）配合采购人或采购代理机构答复投标供应商提出的质疑。</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6.</w:t>
      </w:r>
      <w:r>
        <w:rPr>
          <w:rStyle w:val="39"/>
          <w:rFonts w:hint="eastAsia" w:ascii="宋体" w:hAnsi="宋体" w:eastAsia="宋体" w:cs="宋体"/>
          <w:color w:val="auto"/>
          <w:sz w:val="24"/>
          <w:szCs w:val="24"/>
          <w:highlight w:val="none"/>
        </w:rPr>
        <w:t>除采购人代表、评标现场组织人员外，采购人的其他工作人员以及与评标工作无关的人员不得进入评标现场；有关人员对评标情况以及在评标过程中获悉的国家秘密、商业秘密负有保密责任。</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7.</w:t>
      </w:r>
      <w:r>
        <w:rPr>
          <w:rStyle w:val="39"/>
          <w:rFonts w:hint="eastAsia" w:ascii="宋体" w:hAnsi="宋体" w:eastAsia="宋体" w:cs="宋体"/>
          <w:color w:val="auto"/>
          <w:sz w:val="24"/>
          <w:szCs w:val="24"/>
          <w:highlight w:val="none"/>
        </w:rPr>
        <w:t>开标后直到</w:t>
      </w:r>
      <w:r>
        <w:rPr>
          <w:rStyle w:val="39"/>
          <w:rFonts w:hint="eastAsia" w:ascii="宋体" w:hAnsi="宋体" w:eastAsia="宋体" w:cs="宋体"/>
          <w:color w:val="auto"/>
          <w:sz w:val="24"/>
          <w:szCs w:val="24"/>
          <w:highlight w:val="none"/>
          <w:lang w:val="en-US" w:eastAsia="zh-CN"/>
        </w:rPr>
        <w:t>公告</w:t>
      </w:r>
      <w:r>
        <w:rPr>
          <w:rStyle w:val="39"/>
          <w:rFonts w:hint="eastAsia" w:ascii="宋体" w:hAnsi="宋体" w:eastAsia="宋体" w:cs="宋体"/>
          <w:color w:val="auto"/>
          <w:sz w:val="24"/>
          <w:szCs w:val="24"/>
          <w:highlight w:val="none"/>
        </w:rPr>
        <w:t>项目中标结果发出中标通知书并授予中标人合同为止，凡属于评审、澄清、评价和比较投标的所有资料及有关授予合同等的相关信息，都不应向投标供应商或与评标无关的其他人泄露。</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8.</w:t>
      </w:r>
      <w:r>
        <w:rPr>
          <w:rStyle w:val="39"/>
          <w:rFonts w:hint="eastAsia" w:ascii="宋体" w:hAnsi="宋体" w:eastAsia="宋体" w:cs="宋体"/>
          <w:color w:val="auto"/>
          <w:sz w:val="24"/>
          <w:szCs w:val="24"/>
          <w:highlight w:val="none"/>
        </w:rPr>
        <w:t>评审期间，合格投标供应商的投标文件仍有可能被评标委员会根据规定判为无效投标。</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9.</w:t>
      </w:r>
      <w:r>
        <w:rPr>
          <w:rStyle w:val="39"/>
          <w:rFonts w:hint="eastAsia" w:ascii="宋体" w:hAnsi="宋体" w:eastAsia="宋体" w:cs="宋体"/>
          <w:color w:val="auto"/>
          <w:sz w:val="24"/>
          <w:szCs w:val="24"/>
          <w:highlight w:val="none"/>
        </w:rPr>
        <w:t>在投标文件的评审、澄清、评价和比较以及授予合同的过程中，投标供应商对采购人和评标委员会成员有施加影响的任何行为，都将取消其可能的中标资格。</w:t>
      </w:r>
    </w:p>
    <w:p>
      <w:pPr>
        <w:snapToGrid w:val="0"/>
        <w:ind w:firstLine="487" w:firstLineChars="202"/>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五、评审原则</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本项目采用</w:t>
      </w:r>
      <w:r>
        <w:rPr>
          <w:rStyle w:val="39"/>
          <w:rFonts w:hint="eastAsia" w:ascii="宋体" w:hAnsi="宋体" w:eastAsia="宋体" w:cs="宋体"/>
          <w:color w:val="auto"/>
          <w:sz w:val="24"/>
          <w:szCs w:val="24"/>
          <w:highlight w:val="none"/>
          <w:u w:val="single" w:color="000000"/>
        </w:rPr>
        <w:t xml:space="preserve">  </w:t>
      </w:r>
      <w:r>
        <w:rPr>
          <w:rStyle w:val="39"/>
          <w:rFonts w:hint="eastAsia" w:ascii="宋体" w:hAnsi="宋体" w:eastAsia="宋体" w:cs="宋体"/>
          <w:b/>
          <w:color w:val="auto"/>
          <w:sz w:val="24"/>
          <w:szCs w:val="24"/>
          <w:highlight w:val="none"/>
          <w:u w:val="single" w:color="000000"/>
        </w:rPr>
        <w:t>综合评分法</w:t>
      </w:r>
      <w:r>
        <w:rPr>
          <w:rStyle w:val="39"/>
          <w:rFonts w:hint="eastAsia" w:ascii="宋体" w:hAnsi="宋体" w:eastAsia="宋体" w:cs="宋体"/>
          <w:color w:val="auto"/>
          <w:sz w:val="24"/>
          <w:szCs w:val="24"/>
          <w:highlight w:val="none"/>
          <w:u w:val="single" w:color="000000"/>
        </w:rPr>
        <w:t xml:space="preserve"> </w:t>
      </w:r>
      <w:r>
        <w:rPr>
          <w:rStyle w:val="39"/>
          <w:rFonts w:hint="eastAsia" w:ascii="宋体" w:hAnsi="宋体" w:eastAsia="宋体" w:cs="宋体"/>
          <w:color w:val="auto"/>
          <w:sz w:val="24"/>
          <w:szCs w:val="24"/>
          <w:highlight w:val="none"/>
        </w:rPr>
        <w:t>，即指投标文件满足本项目招标文件全部实质性要求，且按照评审因素的量化指标，经评审后得分最高的投标供应商推荐为中标人的评标方法。</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评标委员会严格按照招标文件规定的要求、条件、评分标准，对投标供应商所提供的完整计划标的物的科学性、可行性、产品质量、服务质量的保证及承诺等实质性响应内容进行比较评价。</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对投标文件的评审判定，只依据投标文件内容本身，不依靠开标后任何外来证明文件。</w:t>
      </w:r>
    </w:p>
    <w:p>
      <w:pPr>
        <w:snapToGrid w:val="0"/>
        <w:spacing w:line="360" w:lineRule="auto"/>
        <w:ind w:firstLine="487" w:firstLineChars="202"/>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六、评审方法</w:t>
      </w:r>
    </w:p>
    <w:p>
      <w:pPr>
        <w:snapToGrid w:val="0"/>
        <w:spacing w:line="360" w:lineRule="auto"/>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评标程序：</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资格符合性评审——</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评审——</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评审——确定中标候选人。</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本次资格审查采用资格后审，各投标供应商资格审查通过后方能进入</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的开标。先开</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文件打</w:t>
      </w:r>
      <w:r>
        <w:rPr>
          <w:rStyle w:val="39"/>
          <w:rFonts w:hint="eastAsia" w:ascii="宋体" w:hAnsi="宋体" w:eastAsia="宋体" w:cs="宋体"/>
          <w:color w:val="auto"/>
          <w:sz w:val="24"/>
          <w:szCs w:val="24"/>
          <w:highlight w:val="none"/>
        </w:rPr>
        <w:t>分结束后再开</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评标委员会将仅对按本招标文件载明的方法与规定，为实质上响应招标文件要求的投标文件评审并进行评价和比较。</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本次项目的</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和</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评审总分值为100分。两部分评审因素比重如下：</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分值占总分值的比重为</w:t>
      </w:r>
      <w:r>
        <w:rPr>
          <w:rStyle w:val="39"/>
          <w:rFonts w:hint="eastAsia" w:ascii="宋体" w:hAnsi="宋体" w:eastAsia="宋体" w:cs="宋体"/>
          <w:color w:val="auto"/>
          <w:sz w:val="24"/>
          <w:szCs w:val="24"/>
          <w:highlight w:val="none"/>
          <w:u w:val="single" w:color="000000"/>
          <w:lang w:val="en-US" w:eastAsia="zh-CN"/>
        </w:rPr>
        <w:t>5</w:t>
      </w:r>
      <w:r>
        <w:rPr>
          <w:rStyle w:val="39"/>
          <w:rFonts w:hint="eastAsia" w:ascii="宋体" w:hAnsi="宋体" w:eastAsia="宋体" w:cs="宋体"/>
          <w:color w:val="auto"/>
          <w:sz w:val="24"/>
          <w:szCs w:val="24"/>
          <w:highlight w:val="none"/>
          <w:u w:val="single" w:color="000000"/>
        </w:rPr>
        <w:t>0%（权重）</w:t>
      </w:r>
      <w:r>
        <w:rPr>
          <w:rStyle w:val="39"/>
          <w:rFonts w:hint="eastAsia" w:ascii="宋体" w:hAnsi="宋体" w:eastAsia="宋体" w:cs="宋体"/>
          <w:color w:val="auto"/>
          <w:sz w:val="24"/>
          <w:szCs w:val="24"/>
          <w:highlight w:val="none"/>
        </w:rPr>
        <w:t>（计算结果均四舍五入保留两位小数）；</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分值占总分值的比重为</w:t>
      </w:r>
      <w:r>
        <w:rPr>
          <w:rStyle w:val="39"/>
          <w:rFonts w:hint="eastAsia" w:ascii="宋体" w:hAnsi="宋体" w:eastAsia="宋体" w:cs="宋体"/>
          <w:color w:val="auto"/>
          <w:sz w:val="24"/>
          <w:szCs w:val="24"/>
          <w:highlight w:val="none"/>
          <w:u w:val="single" w:color="000000"/>
          <w:lang w:val="en-US" w:eastAsia="zh-CN"/>
        </w:rPr>
        <w:t>50%（权重）</w:t>
      </w:r>
      <w:r>
        <w:rPr>
          <w:rStyle w:val="39"/>
          <w:rFonts w:hint="eastAsia" w:ascii="宋体" w:hAnsi="宋体" w:eastAsia="宋体" w:cs="宋体"/>
          <w:color w:val="auto"/>
          <w:sz w:val="24"/>
          <w:szCs w:val="24"/>
          <w:highlight w:val="none"/>
        </w:rPr>
        <w:t>（计算结果均四舍五入保留两位小数）；</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评标委员会严格按照招标文件的要求、条件、评分标准，对投标供应商所提供货物或服务的先进性、可靠性、售后服务承诺、质量保证承诺等实质性响应内容进行比较。</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5.</w:t>
      </w:r>
      <w:r>
        <w:rPr>
          <w:rStyle w:val="39"/>
          <w:rFonts w:hint="eastAsia" w:ascii="宋体" w:hAnsi="宋体" w:eastAsia="宋体" w:cs="宋体"/>
          <w:color w:val="auto"/>
          <w:sz w:val="24"/>
          <w:szCs w:val="24"/>
          <w:highlight w:val="none"/>
        </w:rPr>
        <w:t>评标委员会各成员独立对每个进入打分程序的有效投标供应商的投标文件的技术部分以打分的形式进行评审和评价。</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6.</w:t>
      </w:r>
      <w:r>
        <w:rPr>
          <w:rStyle w:val="39"/>
          <w:rFonts w:hint="eastAsia" w:ascii="宋体" w:hAnsi="宋体" w:eastAsia="宋体" w:cs="宋体"/>
          <w:color w:val="auto"/>
          <w:sz w:val="24"/>
          <w:szCs w:val="24"/>
          <w:highlight w:val="none"/>
        </w:rPr>
        <w:t>技术分按算术平均值计算（计算结果均四舍五入保留两位小数）。</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7.</w:t>
      </w:r>
      <w:r>
        <w:rPr>
          <w:rStyle w:val="39"/>
          <w:rFonts w:hint="eastAsia" w:ascii="宋体" w:hAnsi="宋体" w:eastAsia="宋体" w:cs="宋体"/>
          <w:color w:val="auto"/>
          <w:sz w:val="24"/>
          <w:szCs w:val="24"/>
          <w:highlight w:val="none"/>
        </w:rPr>
        <w:t>开启投标供应商的报价</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，现场唱标后由投标供应商代表签名确认。</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8.</w:t>
      </w:r>
      <w:r>
        <w:rPr>
          <w:rStyle w:val="39"/>
          <w:rFonts w:hint="eastAsia" w:ascii="宋体" w:hAnsi="宋体" w:eastAsia="宋体" w:cs="宋体"/>
          <w:color w:val="auto"/>
          <w:sz w:val="24"/>
          <w:szCs w:val="24"/>
          <w:highlight w:val="none"/>
        </w:rPr>
        <w:t>投标供应商的</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评审得分直接计算取得，并与其</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得分相加为该投标供应商的综合得分（计算结果均四舍五入保留两位小数）。</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9.</w:t>
      </w:r>
      <w:r>
        <w:rPr>
          <w:rStyle w:val="39"/>
          <w:rFonts w:hint="eastAsia" w:ascii="宋体" w:hAnsi="宋体" w:eastAsia="宋体" w:cs="宋体"/>
          <w:color w:val="auto"/>
          <w:sz w:val="24"/>
          <w:szCs w:val="24"/>
          <w:highlight w:val="none"/>
        </w:rPr>
        <w:t>评审后的综合得分相同的，按</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得分由高到低顺序排列。综合得分且</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 w:val="24"/>
          <w:szCs w:val="24"/>
          <w:highlight w:val="none"/>
        </w:rPr>
        <w:t>得分相同的，则采取现场抽签的方式确定（投标供应商的抽签顺序分别为各投标供应商递交投标文件签到顺序号）</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1</w:t>
      </w:r>
      <w:r>
        <w:rPr>
          <w:rStyle w:val="39"/>
          <w:rFonts w:hint="eastAsia" w:ascii="宋体" w:hAnsi="宋体" w:eastAsia="宋体" w:cs="宋体"/>
          <w:color w:val="auto"/>
          <w:sz w:val="24"/>
          <w:szCs w:val="24"/>
          <w:highlight w:val="none"/>
          <w:lang w:eastAsia="zh-CN"/>
        </w:rPr>
        <w:t>0.</w:t>
      </w:r>
      <w:r>
        <w:rPr>
          <w:rStyle w:val="39"/>
          <w:rFonts w:hint="eastAsia" w:ascii="宋体" w:hAnsi="宋体" w:eastAsia="宋体" w:cs="宋体"/>
          <w:color w:val="auto"/>
          <w:sz w:val="24"/>
          <w:szCs w:val="24"/>
          <w:highlight w:val="none"/>
        </w:rPr>
        <w:t>评标结果按投标文件满足招标文件全部实质性要求，且按照评审因素的量化指标评审综合得分最高的投标供应商，排名第一的确定为第一中标候选人，出具评审报告并将结果通知所有投标供应商。</w:t>
      </w:r>
    </w:p>
    <w:p>
      <w:pPr>
        <w:snapToGrid w:val="0"/>
        <w:ind w:firstLine="487"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七、关于投标价格评审</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针对投标价格实质响应的评审</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评标委员会将审查每份投标文件的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供应商的竞争地位产生不公正的影响。如未实质上响应 ，则按无效投标处理。</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针对投标价格合理性的评审</w:t>
      </w:r>
    </w:p>
    <w:p>
      <w:pPr>
        <w:snapToGrid w:val="0"/>
        <w:ind w:firstLine="487" w:firstLineChars="202"/>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Style w:val="39"/>
          <w:rFonts w:hint="eastAsia" w:ascii="宋体" w:hAnsi="宋体" w:eastAsia="宋体" w:cs="宋体"/>
          <w:color w:val="auto"/>
          <w:sz w:val="24"/>
          <w:szCs w:val="24"/>
          <w:highlight w:val="none"/>
        </w:rPr>
        <w:t xml:space="preserve"> </w:t>
      </w:r>
    </w:p>
    <w:p>
      <w:pPr>
        <w:snapToGrid w:val="0"/>
        <w:ind w:firstLine="487"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八、评审评分项</w:t>
      </w:r>
    </w:p>
    <w:p>
      <w:pPr>
        <w:snapToGrid w:val="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（一）技术分：（</w:t>
      </w:r>
      <w:r>
        <w:rPr>
          <w:rStyle w:val="39"/>
          <w:rFonts w:hint="eastAsia" w:ascii="宋体" w:hAnsi="宋体" w:eastAsia="宋体" w:cs="宋体"/>
          <w:color w:val="auto"/>
          <w:sz w:val="24"/>
          <w:szCs w:val="24"/>
          <w:highlight w:val="none"/>
          <w:lang w:val="en-US" w:eastAsia="zh-CN"/>
        </w:rPr>
        <w:t>5</w:t>
      </w:r>
      <w:r>
        <w:rPr>
          <w:rStyle w:val="39"/>
          <w:rFonts w:hint="eastAsia" w:ascii="宋体" w:hAnsi="宋体" w:eastAsia="宋体" w:cs="宋体"/>
          <w:color w:val="auto"/>
          <w:sz w:val="24"/>
          <w:szCs w:val="24"/>
          <w:highlight w:val="none"/>
        </w:rPr>
        <w:t>0分）</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3"/>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63" w:type="dxa"/>
            <w:noWrap w:val="0"/>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875" w:type="dxa"/>
            <w:noWrap w:val="0"/>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63" w:type="dxa"/>
            <w:shd w:val="clear" w:color="auto" w:fill="auto"/>
            <w:noWrap w:val="0"/>
            <w:tcMar>
              <w:top w:w="15" w:type="dxa"/>
              <w:left w:w="15" w:type="dxa"/>
              <w:right w:w="15" w:type="dxa"/>
            </w:tcMar>
            <w:vAlign w:val="center"/>
          </w:tcPr>
          <w:p>
            <w:pPr>
              <w:bidi w:val="0"/>
              <w:jc w:val="center"/>
              <w:rPr>
                <w:rFonts w:hint="eastAsia" w:ascii="宋体" w:hAnsi="Times New Roman" w:eastAsia="楷体_GB2312" w:cs="Times New Roman"/>
                <w:b/>
                <w:bCs/>
                <w:color w:val="auto"/>
                <w:kern w:val="2"/>
                <w:szCs w:val="21"/>
                <w:highlight w:val="none"/>
                <w:lang w:val="en-US" w:eastAsia="zh-CN" w:bidi="ar-SA"/>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参数（20分）</w:t>
            </w:r>
          </w:p>
        </w:tc>
        <w:tc>
          <w:tcPr>
            <w:tcW w:w="7875" w:type="dxa"/>
            <w:shd w:val="clear" w:color="auto" w:fill="auto"/>
            <w:noWrap w:val="0"/>
            <w:tcMar>
              <w:top w:w="15" w:type="dxa"/>
              <w:left w:w="15" w:type="dxa"/>
              <w:right w:w="15" w:type="dxa"/>
            </w:tcMar>
            <w:vAlign w:val="center"/>
          </w:tcPr>
          <w:p>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技术参数</w:t>
            </w:r>
            <w:r>
              <w:rPr>
                <w:rStyle w:val="39"/>
                <w:rFonts w:hint="eastAsia" w:ascii="宋体" w:hAnsi="宋体" w:eastAsia="宋体" w:cs="宋体"/>
                <w:color w:val="auto"/>
                <w:sz w:val="21"/>
                <w:szCs w:val="21"/>
                <w:highlight w:val="none"/>
                <w:shd w:val="clear" w:color="auto" w:fill="auto"/>
              </w:rPr>
              <w:t>、功能指标完全满足或优于招标文件要求</w:t>
            </w:r>
            <w:r>
              <w:rPr>
                <w:rFonts w:hint="eastAsia" w:ascii="宋体" w:hAnsi="宋体" w:eastAsia="宋体" w:cs="宋体"/>
                <w:color w:val="auto"/>
                <w:sz w:val="21"/>
                <w:szCs w:val="21"/>
                <w:highlight w:val="none"/>
              </w:rPr>
              <w:t>（除要求“演示”内容外）</w:t>
            </w:r>
            <w:r>
              <w:rPr>
                <w:rStyle w:val="39"/>
                <w:rFonts w:hint="eastAsia" w:ascii="宋体" w:hAnsi="宋体" w:eastAsia="宋体" w:cs="宋体"/>
                <w:color w:val="auto"/>
                <w:sz w:val="21"/>
                <w:szCs w:val="21"/>
                <w:highlight w:val="none"/>
                <w:shd w:val="clear" w:color="auto" w:fill="auto"/>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▲号项为重要技术参数，不满足一项扣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其它技术参数不满足技术要求的，一项扣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p>
            <w:pPr>
              <w:bidi w:val="0"/>
              <w:spacing w:line="240" w:lineRule="auto"/>
              <w:rPr>
                <w:rFonts w:hint="eastAsia" w:ascii="宋体" w:hAnsi="Times New Roman" w:eastAsia="楷体_GB2312" w:cs="Times New Roman"/>
                <w:color w:val="auto"/>
                <w:kern w:val="2"/>
                <w:szCs w:val="21"/>
                <w:highlight w:val="none"/>
                <w:lang w:val="en-US" w:eastAsia="zh-CN" w:bidi="ar-SA"/>
              </w:rPr>
            </w:pPr>
            <w:r>
              <w:rPr>
                <w:rStyle w:val="39"/>
                <w:rFonts w:hint="eastAsia" w:ascii="宋体" w:hAnsi="宋体" w:eastAsia="宋体" w:cs="宋体"/>
                <w:color w:val="auto"/>
                <w:sz w:val="21"/>
                <w:szCs w:val="21"/>
                <w:highlight w:val="none"/>
                <w:shd w:val="clear" w:color="auto" w:fill="auto"/>
                <w:lang w:val="en-US" w:eastAsia="zh-CN"/>
              </w:rPr>
              <w:t>注：</w:t>
            </w:r>
            <w:r>
              <w:rPr>
                <w:rStyle w:val="39"/>
                <w:rFonts w:hint="eastAsia" w:ascii="宋体" w:hAnsi="宋体" w:eastAsia="宋体" w:cs="宋体"/>
                <w:color w:val="auto"/>
                <w:sz w:val="21"/>
                <w:szCs w:val="21"/>
                <w:highlight w:val="none"/>
                <w:shd w:val="clear" w:color="auto" w:fill="auto"/>
              </w:rPr>
              <w:t>技术参数中要求提供产品原厂彩页、说明书或官网截图等材料的须按相应要求提供，否则视为负</w:t>
            </w:r>
            <w:r>
              <w:rPr>
                <w:rStyle w:val="39"/>
                <w:rFonts w:hint="eastAsia" w:ascii="宋体" w:hAnsi="宋体" w:eastAsia="宋体" w:cs="宋体"/>
                <w:color w:val="auto"/>
                <w:sz w:val="21"/>
                <w:szCs w:val="21"/>
                <w:highlight w:val="none"/>
                <w:shd w:val="clear" w:color="auto" w:fill="auto"/>
                <w:lang w:val="en-US" w:eastAsia="zh-CN"/>
              </w:rPr>
              <w:t>偏离</w:t>
            </w:r>
            <w:r>
              <w:rPr>
                <w:rStyle w:val="39"/>
                <w:rFonts w:hint="eastAsia" w:ascii="宋体" w:hAnsi="宋体" w:eastAsia="宋体" w:cs="宋体"/>
                <w:color w:val="auto"/>
                <w:sz w:val="21"/>
                <w:szCs w:val="21"/>
                <w:highlight w:val="none"/>
                <w:shd w:val="clear" w:color="auto" w:fill="auto"/>
              </w:rPr>
              <w:t>，扣除相应分值。</w:t>
            </w:r>
            <w:r>
              <w:rPr>
                <w:rFonts w:hint="eastAsia" w:ascii="宋体" w:hAnsi="宋体" w:eastAsia="宋体" w:cs="宋体"/>
                <w:color w:val="auto"/>
                <w:sz w:val="21"/>
                <w:szCs w:val="21"/>
                <w:highlight w:val="none"/>
              </w:rPr>
              <w:t>供应商提供打“▲”号指标相关技术支持资料并加盖公章（如白皮书、彩页、手册等），未提供技术支持资料的，视同未对采购文件要求作出响应，评审时不予认可。</w:t>
            </w:r>
            <w:r>
              <w:rPr>
                <w:rStyle w:val="39"/>
                <w:rFonts w:hint="eastAsia" w:ascii="宋体" w:hAnsi="宋体" w:eastAsia="宋体" w:cs="宋体"/>
                <w:color w:val="auto"/>
                <w:sz w:val="21"/>
                <w:szCs w:val="21"/>
                <w:highlight w:val="none"/>
                <w:shd w:val="clear" w:color="auto" w:fill="auto"/>
              </w:rPr>
              <w:t>“▲”的条款需在商务技术条款响应一览表中详细标明所在投标文件中的具体页码和位置。如因未在《商务技术条款响应一览表》中注明支持资料具体页码和位置导致本项不得分的，由此产生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63" w:type="dxa"/>
            <w:noWrap w:val="0"/>
            <w:tcMar>
              <w:top w:w="15" w:type="dxa"/>
              <w:left w:w="15" w:type="dxa"/>
              <w:right w:w="15" w:type="dxa"/>
            </w:tcMar>
            <w:vAlign w:val="center"/>
          </w:tcPr>
          <w:p>
            <w:pPr>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p>
            <w:pPr>
              <w:bidi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（7分）</w:t>
            </w:r>
          </w:p>
        </w:tc>
        <w:tc>
          <w:tcPr>
            <w:tcW w:w="7875" w:type="dxa"/>
            <w:shd w:val="clear" w:color="auto" w:fill="auto"/>
            <w:noWrap w:val="0"/>
            <w:tcMar>
              <w:top w:w="15" w:type="dxa"/>
              <w:left w:w="15" w:type="dxa"/>
              <w:right w:w="15" w:type="dxa"/>
            </w:tcMar>
            <w:vAlign w:val="center"/>
          </w:tcPr>
          <w:p>
            <w:pPr>
              <w:bidi w:val="0"/>
              <w:spacing w:line="240" w:lineRule="auto"/>
              <w:rPr>
                <w:rStyle w:val="39"/>
                <w:rFonts w:hint="eastAsia" w:ascii="宋体" w:hAnsi="宋体" w:eastAsia="宋体" w:cs="宋体"/>
                <w:color w:val="auto"/>
                <w:sz w:val="21"/>
                <w:szCs w:val="21"/>
                <w:highlight w:val="none"/>
                <w:shd w:val="clear" w:color="auto" w:fill="auto"/>
              </w:rPr>
            </w:pPr>
            <w:r>
              <w:rPr>
                <w:rStyle w:val="39"/>
                <w:rFonts w:hint="eastAsia" w:ascii="宋体" w:hAnsi="宋体" w:eastAsia="宋体" w:cs="宋体"/>
                <w:color w:val="auto"/>
                <w:sz w:val="21"/>
                <w:szCs w:val="21"/>
                <w:highlight w:val="none"/>
                <w:shd w:val="clear" w:color="auto" w:fill="auto"/>
              </w:rPr>
              <w:t>根据供应商提供的售后服务方案进行</w:t>
            </w:r>
            <w:r>
              <w:rPr>
                <w:rStyle w:val="39"/>
                <w:rFonts w:hint="eastAsia" w:ascii="宋体" w:hAnsi="宋体" w:eastAsia="宋体" w:cs="宋体"/>
                <w:color w:val="auto"/>
                <w:sz w:val="21"/>
                <w:szCs w:val="21"/>
                <w:highlight w:val="none"/>
                <w:shd w:val="clear" w:color="auto" w:fill="auto"/>
                <w:lang w:val="en-US" w:eastAsia="zh-CN"/>
              </w:rPr>
              <w:t>打分</w:t>
            </w:r>
            <w:r>
              <w:rPr>
                <w:rStyle w:val="39"/>
                <w:rFonts w:hint="eastAsia" w:ascii="宋体" w:hAnsi="宋体" w:eastAsia="宋体" w:cs="宋体"/>
                <w:color w:val="auto"/>
                <w:sz w:val="21"/>
                <w:szCs w:val="21"/>
                <w:highlight w:val="none"/>
                <w:shd w:val="clear" w:color="auto" w:fill="auto"/>
              </w:rPr>
              <w:t>，方案包括但不限于质量保证体系及保证措施、售后服务内容、故障解决方案、响应次数、响应时间、专业技术人员保障及售后技术装备、备品备件等内容：</w:t>
            </w:r>
          </w:p>
          <w:p>
            <w:pPr>
              <w:bidi w:val="0"/>
              <w:spacing w:line="240" w:lineRule="auto"/>
              <w:rPr>
                <w:rStyle w:val="39"/>
                <w:rFonts w:hint="eastAsia" w:ascii="宋体" w:hAnsi="宋体" w:eastAsia="宋体" w:cs="宋体"/>
                <w:color w:val="auto"/>
                <w:sz w:val="21"/>
                <w:szCs w:val="21"/>
                <w:highlight w:val="none"/>
                <w:shd w:val="clear" w:color="auto" w:fill="auto"/>
              </w:rPr>
            </w:pPr>
            <w:r>
              <w:rPr>
                <w:rStyle w:val="39"/>
                <w:rFonts w:hint="eastAsia" w:ascii="宋体" w:hAnsi="宋体" w:eastAsia="宋体" w:cs="宋体"/>
                <w:color w:val="auto"/>
                <w:sz w:val="21"/>
                <w:szCs w:val="21"/>
                <w:highlight w:val="none"/>
                <w:shd w:val="clear" w:color="auto" w:fill="auto"/>
              </w:rPr>
              <w:t>方案全面、科学合理、操作可行、完全契合本项目的得</w:t>
            </w:r>
            <w:r>
              <w:rPr>
                <w:rStyle w:val="39"/>
                <w:rFonts w:hint="eastAsia" w:ascii="宋体" w:hAnsi="宋体" w:eastAsia="宋体" w:cs="宋体"/>
                <w:color w:val="auto"/>
                <w:sz w:val="21"/>
                <w:szCs w:val="21"/>
                <w:highlight w:val="none"/>
                <w:shd w:val="clear" w:color="auto" w:fill="auto"/>
                <w:lang w:val="en-US" w:eastAsia="zh-CN"/>
              </w:rPr>
              <w:t>7</w:t>
            </w:r>
            <w:r>
              <w:rPr>
                <w:rStyle w:val="39"/>
                <w:rFonts w:hint="eastAsia" w:ascii="宋体" w:hAnsi="宋体" w:eastAsia="宋体" w:cs="宋体"/>
                <w:color w:val="auto"/>
                <w:sz w:val="21"/>
                <w:szCs w:val="21"/>
                <w:highlight w:val="none"/>
                <w:shd w:val="clear" w:color="auto" w:fill="auto"/>
              </w:rPr>
              <w:t>分；</w:t>
            </w:r>
          </w:p>
          <w:p>
            <w:pPr>
              <w:bidi w:val="0"/>
              <w:spacing w:line="240" w:lineRule="auto"/>
              <w:rPr>
                <w:rStyle w:val="39"/>
                <w:rFonts w:hint="eastAsia" w:ascii="宋体" w:hAnsi="宋体" w:eastAsia="宋体" w:cs="宋体"/>
                <w:color w:val="auto"/>
                <w:sz w:val="21"/>
                <w:szCs w:val="21"/>
                <w:highlight w:val="none"/>
                <w:shd w:val="clear" w:color="auto" w:fill="auto"/>
              </w:rPr>
            </w:pPr>
            <w:r>
              <w:rPr>
                <w:rStyle w:val="39"/>
                <w:rFonts w:hint="eastAsia" w:ascii="宋体" w:hAnsi="宋体" w:eastAsia="宋体" w:cs="宋体"/>
                <w:color w:val="auto"/>
                <w:sz w:val="21"/>
                <w:szCs w:val="21"/>
                <w:highlight w:val="none"/>
                <w:shd w:val="clear" w:color="auto" w:fill="auto"/>
              </w:rPr>
              <w:t>方案较全面、较合理的得</w:t>
            </w:r>
            <w:r>
              <w:rPr>
                <w:rStyle w:val="39"/>
                <w:rFonts w:hint="eastAsia" w:ascii="宋体" w:hAnsi="宋体" w:eastAsia="宋体" w:cs="宋体"/>
                <w:color w:val="auto"/>
                <w:sz w:val="21"/>
                <w:szCs w:val="21"/>
                <w:highlight w:val="none"/>
                <w:shd w:val="clear" w:color="auto" w:fill="auto"/>
                <w:lang w:val="en-US" w:eastAsia="zh-CN"/>
              </w:rPr>
              <w:t>4</w:t>
            </w:r>
            <w:r>
              <w:rPr>
                <w:rStyle w:val="39"/>
                <w:rFonts w:hint="eastAsia" w:ascii="宋体" w:hAnsi="宋体" w:eastAsia="宋体" w:cs="宋体"/>
                <w:color w:val="auto"/>
                <w:sz w:val="21"/>
                <w:szCs w:val="21"/>
                <w:highlight w:val="none"/>
                <w:shd w:val="clear" w:color="auto" w:fill="auto"/>
              </w:rPr>
              <w:t>分；</w:t>
            </w:r>
          </w:p>
          <w:p>
            <w:pPr>
              <w:bidi w:val="0"/>
              <w:spacing w:line="240" w:lineRule="auto"/>
              <w:rPr>
                <w:rStyle w:val="39"/>
                <w:rFonts w:hint="eastAsia" w:ascii="宋体" w:hAnsi="宋体" w:eastAsia="宋体" w:cs="宋体"/>
                <w:color w:val="auto"/>
                <w:sz w:val="21"/>
                <w:szCs w:val="21"/>
                <w:highlight w:val="none"/>
                <w:shd w:val="clear" w:color="auto" w:fill="auto"/>
              </w:rPr>
            </w:pPr>
            <w:r>
              <w:rPr>
                <w:rStyle w:val="39"/>
                <w:rFonts w:hint="eastAsia" w:ascii="宋体" w:hAnsi="宋体" w:eastAsia="宋体" w:cs="宋体"/>
                <w:color w:val="auto"/>
                <w:sz w:val="21"/>
                <w:szCs w:val="21"/>
                <w:highlight w:val="none"/>
                <w:shd w:val="clear" w:color="auto" w:fill="auto"/>
              </w:rPr>
              <w:t>各项内容基本满足项目需求得</w:t>
            </w:r>
            <w:r>
              <w:rPr>
                <w:rStyle w:val="39"/>
                <w:rFonts w:hint="eastAsia" w:ascii="宋体" w:hAnsi="宋体" w:eastAsia="宋体" w:cs="宋体"/>
                <w:color w:val="auto"/>
                <w:sz w:val="21"/>
                <w:szCs w:val="21"/>
                <w:highlight w:val="none"/>
                <w:shd w:val="clear" w:color="auto" w:fill="auto"/>
                <w:lang w:val="en-US" w:eastAsia="zh-CN"/>
              </w:rPr>
              <w:t>1</w:t>
            </w:r>
            <w:r>
              <w:rPr>
                <w:rStyle w:val="39"/>
                <w:rFonts w:hint="eastAsia" w:ascii="宋体" w:hAnsi="宋体" w:eastAsia="宋体" w:cs="宋体"/>
                <w:color w:val="auto"/>
                <w:sz w:val="21"/>
                <w:szCs w:val="21"/>
                <w:highlight w:val="none"/>
                <w:shd w:val="clear" w:color="auto" w:fill="auto"/>
              </w:rPr>
              <w:t>分；</w:t>
            </w:r>
          </w:p>
          <w:p>
            <w:pPr>
              <w:bidi w:val="0"/>
              <w:spacing w:line="240" w:lineRule="auto"/>
              <w:rPr>
                <w:rStyle w:val="39"/>
                <w:rFonts w:hint="eastAsia" w:ascii="宋体" w:hAnsi="宋体" w:eastAsia="宋体" w:cs="宋体"/>
                <w:color w:val="auto"/>
                <w:sz w:val="21"/>
                <w:szCs w:val="21"/>
                <w:highlight w:val="none"/>
                <w:shd w:val="clear" w:color="auto" w:fill="auto"/>
                <w:lang w:val="en-US" w:eastAsia="zh-CN"/>
              </w:rPr>
            </w:pPr>
            <w:r>
              <w:rPr>
                <w:rStyle w:val="39"/>
                <w:rFonts w:hint="eastAsia" w:ascii="宋体" w:hAnsi="宋体" w:eastAsia="宋体" w:cs="宋体"/>
                <w:color w:val="auto"/>
                <w:sz w:val="21"/>
                <w:szCs w:val="21"/>
                <w:highlight w:val="none"/>
                <w:shd w:val="clear" w:color="auto" w:fill="auto"/>
              </w:rPr>
              <w:t>方案片面或未提供的本项不得分。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63"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p>
            <w:pPr>
              <w:widowControl/>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7875" w:type="dxa"/>
            <w:shd w:val="clear" w:color="auto" w:fill="auto"/>
            <w:noWrap w:val="0"/>
            <w:tcMar>
              <w:top w:w="15" w:type="dxa"/>
              <w:left w:w="15" w:type="dxa"/>
              <w:right w:w="15" w:type="dxa"/>
            </w:tcMar>
            <w:vAlign w:val="center"/>
          </w:tcPr>
          <w:p>
            <w:pPr>
              <w:bidi w:val="0"/>
              <w:spacing w:line="240" w:lineRule="auto"/>
              <w:rPr>
                <w:rStyle w:val="39"/>
                <w:rFonts w:hint="default" w:ascii="宋体" w:hAnsi="宋体" w:eastAsia="宋体" w:cs="宋体"/>
                <w:color w:val="auto"/>
                <w:sz w:val="21"/>
                <w:szCs w:val="21"/>
                <w:highlight w:val="none"/>
                <w:shd w:val="clear" w:color="auto" w:fill="auto"/>
                <w:lang w:val="en-US" w:eastAsia="zh-CN"/>
              </w:rPr>
            </w:pPr>
            <w:r>
              <w:rPr>
                <w:rStyle w:val="39"/>
                <w:rFonts w:hint="eastAsia" w:ascii="宋体" w:hAnsi="宋体" w:eastAsia="宋体" w:cs="宋体"/>
                <w:color w:val="auto"/>
                <w:sz w:val="21"/>
                <w:szCs w:val="21"/>
                <w:highlight w:val="none"/>
                <w:shd w:val="clear" w:color="auto" w:fill="auto"/>
                <w:lang w:val="en-US" w:eastAsia="en-US"/>
              </w:rPr>
              <w:t>培训方案</w:t>
            </w:r>
            <w:r>
              <w:rPr>
                <w:rStyle w:val="39"/>
                <w:rFonts w:hint="eastAsia" w:ascii="宋体" w:hAnsi="宋体" w:eastAsia="宋体" w:cs="宋体"/>
                <w:color w:val="auto"/>
                <w:sz w:val="21"/>
                <w:szCs w:val="21"/>
                <w:highlight w:val="none"/>
                <w:shd w:val="clear" w:color="auto" w:fill="auto"/>
                <w:lang w:val="en-US" w:eastAsia="zh-CN"/>
              </w:rPr>
              <w:t>须包含</w:t>
            </w:r>
            <w:r>
              <w:rPr>
                <w:rStyle w:val="39"/>
                <w:rFonts w:hint="eastAsia" w:ascii="宋体" w:hAnsi="宋体" w:eastAsia="宋体" w:cs="宋体"/>
                <w:color w:val="auto"/>
                <w:sz w:val="21"/>
                <w:szCs w:val="21"/>
                <w:highlight w:val="none"/>
                <w:shd w:val="clear" w:color="auto" w:fill="auto"/>
                <w:lang w:val="en-US" w:eastAsia="en-US"/>
              </w:rPr>
              <w:t>培训的方式方法及培训的课程时间安排</w:t>
            </w:r>
            <w:r>
              <w:rPr>
                <w:rStyle w:val="39"/>
                <w:rFonts w:hint="eastAsia" w:ascii="宋体" w:hAnsi="宋体" w:eastAsia="宋体" w:cs="宋体"/>
                <w:color w:val="auto"/>
                <w:sz w:val="21"/>
                <w:szCs w:val="21"/>
                <w:highlight w:val="none"/>
                <w:shd w:val="clear" w:color="auto" w:fill="auto"/>
                <w:lang w:val="en-US" w:eastAsia="zh-CN"/>
              </w:rPr>
              <w:t>等内容</w:t>
            </w:r>
            <w:r>
              <w:rPr>
                <w:rStyle w:val="39"/>
                <w:rFonts w:hint="eastAsia" w:ascii="宋体" w:hAnsi="宋体" w:eastAsia="宋体" w:cs="宋体"/>
                <w:color w:val="auto"/>
                <w:sz w:val="21"/>
                <w:szCs w:val="21"/>
                <w:highlight w:val="none"/>
                <w:shd w:val="clear" w:color="auto" w:fill="auto"/>
                <w:lang w:val="en-US" w:eastAsia="en-US"/>
              </w:rPr>
              <w:br w:type="textWrapping"/>
            </w:r>
            <w:r>
              <w:rPr>
                <w:rStyle w:val="39"/>
                <w:rFonts w:hint="eastAsia" w:ascii="宋体" w:hAnsi="宋体" w:eastAsia="宋体" w:cs="宋体"/>
                <w:color w:val="auto"/>
                <w:sz w:val="21"/>
                <w:szCs w:val="21"/>
                <w:highlight w:val="none"/>
                <w:shd w:val="clear" w:color="auto" w:fill="auto"/>
                <w:lang w:val="en-US" w:eastAsia="en-US"/>
              </w:rPr>
              <w:t>评审标准：</w:t>
            </w:r>
            <w:r>
              <w:rPr>
                <w:rStyle w:val="39"/>
                <w:rFonts w:hint="eastAsia" w:ascii="宋体" w:hAnsi="宋体" w:eastAsia="宋体" w:cs="宋体"/>
                <w:color w:val="auto"/>
                <w:sz w:val="21"/>
                <w:szCs w:val="21"/>
                <w:highlight w:val="none"/>
                <w:shd w:val="clear" w:color="auto" w:fill="auto"/>
                <w:lang w:val="en-US" w:eastAsia="en-US"/>
              </w:rPr>
              <w:br w:type="textWrapping"/>
            </w:r>
            <w:r>
              <w:rPr>
                <w:rStyle w:val="39"/>
                <w:rFonts w:hint="eastAsia" w:ascii="宋体" w:hAnsi="宋体" w:eastAsia="宋体" w:cs="宋体"/>
                <w:color w:val="auto"/>
                <w:sz w:val="21"/>
                <w:szCs w:val="21"/>
                <w:highlight w:val="none"/>
                <w:shd w:val="clear" w:color="auto" w:fill="auto"/>
                <w:lang w:val="en-US" w:eastAsia="en-US"/>
              </w:rPr>
              <w:t>1</w:t>
            </w:r>
            <w:r>
              <w:rPr>
                <w:rStyle w:val="39"/>
                <w:rFonts w:hint="eastAsia" w:ascii="宋体" w:hAnsi="宋体" w:eastAsia="宋体" w:cs="宋体"/>
                <w:color w:val="auto"/>
                <w:sz w:val="21"/>
                <w:szCs w:val="21"/>
                <w:highlight w:val="none"/>
                <w:shd w:val="clear" w:color="auto" w:fill="auto"/>
                <w:lang w:val="en-US" w:eastAsia="zh-CN"/>
              </w:rPr>
              <w:t>.</w:t>
            </w:r>
            <w:r>
              <w:rPr>
                <w:rStyle w:val="39"/>
                <w:rFonts w:hint="eastAsia" w:ascii="宋体" w:hAnsi="宋体" w:eastAsia="宋体" w:cs="宋体"/>
                <w:color w:val="auto"/>
                <w:sz w:val="21"/>
                <w:szCs w:val="21"/>
                <w:highlight w:val="none"/>
                <w:shd w:val="clear" w:color="auto" w:fill="auto"/>
                <w:lang w:val="en-US" w:eastAsia="en-US"/>
              </w:rPr>
              <w:t>完整性：方案完整，情况切合本项目实际情况；</w:t>
            </w:r>
            <w:r>
              <w:rPr>
                <w:rStyle w:val="39"/>
                <w:rFonts w:hint="eastAsia" w:ascii="宋体" w:hAnsi="宋体" w:eastAsia="宋体" w:cs="宋体"/>
                <w:color w:val="auto"/>
                <w:sz w:val="21"/>
                <w:szCs w:val="21"/>
                <w:highlight w:val="none"/>
                <w:shd w:val="clear" w:color="auto" w:fill="auto"/>
                <w:lang w:val="en-US" w:eastAsia="en-US"/>
              </w:rPr>
              <w:br w:type="textWrapping"/>
            </w:r>
            <w:r>
              <w:rPr>
                <w:rStyle w:val="39"/>
                <w:rFonts w:hint="eastAsia" w:ascii="宋体" w:hAnsi="宋体" w:eastAsia="宋体" w:cs="宋体"/>
                <w:color w:val="auto"/>
                <w:sz w:val="21"/>
                <w:szCs w:val="21"/>
                <w:highlight w:val="none"/>
                <w:shd w:val="clear" w:color="auto" w:fill="auto"/>
                <w:lang w:val="en-US" w:eastAsia="en-US"/>
              </w:rPr>
              <w:t>2</w:t>
            </w:r>
            <w:r>
              <w:rPr>
                <w:rStyle w:val="39"/>
                <w:rFonts w:hint="eastAsia" w:ascii="宋体" w:hAnsi="宋体" w:eastAsia="宋体" w:cs="宋体"/>
                <w:color w:val="auto"/>
                <w:sz w:val="21"/>
                <w:szCs w:val="21"/>
                <w:highlight w:val="none"/>
                <w:shd w:val="clear" w:color="auto" w:fill="auto"/>
                <w:lang w:val="en-US" w:eastAsia="zh-CN"/>
              </w:rPr>
              <w:t>.</w:t>
            </w:r>
            <w:r>
              <w:rPr>
                <w:rStyle w:val="39"/>
                <w:rFonts w:hint="eastAsia" w:ascii="宋体" w:hAnsi="宋体" w:eastAsia="宋体" w:cs="宋体"/>
                <w:color w:val="auto"/>
                <w:sz w:val="21"/>
                <w:szCs w:val="21"/>
                <w:highlight w:val="none"/>
                <w:shd w:val="clear" w:color="auto" w:fill="auto"/>
                <w:lang w:val="en-US" w:eastAsia="en-US"/>
              </w:rPr>
              <w:t>合理性：符合项目具体情况，提出的方案思路、实施措施及配置方案合理恰当；</w:t>
            </w:r>
            <w:r>
              <w:rPr>
                <w:rStyle w:val="39"/>
                <w:rFonts w:hint="eastAsia" w:ascii="宋体" w:hAnsi="宋体" w:eastAsia="宋体" w:cs="宋体"/>
                <w:color w:val="auto"/>
                <w:sz w:val="21"/>
                <w:szCs w:val="21"/>
                <w:highlight w:val="none"/>
                <w:shd w:val="clear" w:color="auto" w:fill="auto"/>
                <w:lang w:val="en-US" w:eastAsia="en-US"/>
              </w:rPr>
              <w:br w:type="textWrapping"/>
            </w:r>
            <w:r>
              <w:rPr>
                <w:rStyle w:val="39"/>
                <w:rFonts w:hint="eastAsia" w:ascii="宋体" w:hAnsi="宋体" w:eastAsia="宋体" w:cs="宋体"/>
                <w:color w:val="auto"/>
                <w:sz w:val="21"/>
                <w:szCs w:val="21"/>
                <w:highlight w:val="none"/>
                <w:shd w:val="clear" w:color="auto" w:fill="auto"/>
                <w:lang w:val="en-US" w:eastAsia="en-US"/>
              </w:rPr>
              <w:t>3</w:t>
            </w:r>
            <w:r>
              <w:rPr>
                <w:rStyle w:val="39"/>
                <w:rFonts w:hint="eastAsia" w:ascii="宋体" w:hAnsi="宋体" w:eastAsia="宋体" w:cs="宋体"/>
                <w:color w:val="auto"/>
                <w:sz w:val="21"/>
                <w:szCs w:val="21"/>
                <w:highlight w:val="none"/>
                <w:shd w:val="clear" w:color="auto" w:fill="auto"/>
                <w:lang w:val="en-US" w:eastAsia="zh-CN"/>
              </w:rPr>
              <w:t>.</w:t>
            </w:r>
            <w:r>
              <w:rPr>
                <w:rStyle w:val="39"/>
                <w:rFonts w:hint="eastAsia" w:ascii="宋体" w:hAnsi="宋体" w:eastAsia="宋体" w:cs="宋体"/>
                <w:color w:val="auto"/>
                <w:sz w:val="21"/>
                <w:szCs w:val="21"/>
                <w:highlight w:val="none"/>
                <w:shd w:val="clear" w:color="auto" w:fill="auto"/>
                <w:lang w:val="en-US" w:eastAsia="en-US"/>
              </w:rPr>
              <w:t>针对性：方案等内容能够充分考虑到项目本身的特点，更好地满足项目需要。</w:t>
            </w:r>
            <w:r>
              <w:rPr>
                <w:rStyle w:val="39"/>
                <w:rFonts w:hint="eastAsia" w:ascii="宋体" w:hAnsi="宋体" w:eastAsia="宋体" w:cs="宋体"/>
                <w:color w:val="auto"/>
                <w:sz w:val="21"/>
                <w:szCs w:val="21"/>
                <w:highlight w:val="none"/>
                <w:shd w:val="clear" w:color="auto" w:fill="auto"/>
                <w:lang w:val="en-US" w:eastAsia="en-US"/>
              </w:rPr>
              <w:br w:type="textWrapping"/>
            </w:r>
            <w:r>
              <w:rPr>
                <w:rStyle w:val="39"/>
                <w:rFonts w:hint="eastAsia" w:ascii="宋体" w:hAnsi="宋体" w:eastAsia="宋体" w:cs="宋体"/>
                <w:color w:val="auto"/>
                <w:sz w:val="21"/>
                <w:szCs w:val="21"/>
                <w:highlight w:val="none"/>
                <w:shd w:val="clear" w:color="auto" w:fill="auto"/>
                <w:lang w:val="en-US" w:eastAsia="en-US"/>
              </w:rPr>
              <w:t>4</w:t>
            </w:r>
            <w:r>
              <w:rPr>
                <w:rStyle w:val="39"/>
                <w:rFonts w:hint="eastAsia" w:ascii="宋体" w:hAnsi="宋体" w:eastAsia="宋体" w:cs="宋体"/>
                <w:color w:val="auto"/>
                <w:sz w:val="21"/>
                <w:szCs w:val="21"/>
                <w:highlight w:val="none"/>
                <w:shd w:val="clear" w:color="auto" w:fill="auto"/>
                <w:lang w:val="en-US" w:eastAsia="zh-CN"/>
              </w:rPr>
              <w:t>.</w:t>
            </w:r>
            <w:r>
              <w:rPr>
                <w:rStyle w:val="39"/>
                <w:rFonts w:hint="eastAsia" w:ascii="宋体" w:hAnsi="宋体" w:eastAsia="宋体" w:cs="宋体"/>
                <w:color w:val="auto"/>
                <w:sz w:val="21"/>
                <w:szCs w:val="21"/>
                <w:highlight w:val="none"/>
                <w:shd w:val="clear" w:color="auto" w:fill="auto"/>
                <w:lang w:val="en-US" w:eastAsia="en-US"/>
              </w:rPr>
              <w:t>科学性：方案等内容能够利用科学化方式，科学合理完成项目。</w:t>
            </w:r>
            <w:r>
              <w:rPr>
                <w:rStyle w:val="39"/>
                <w:rFonts w:hint="eastAsia" w:ascii="宋体" w:hAnsi="宋体" w:eastAsia="宋体" w:cs="宋体"/>
                <w:color w:val="auto"/>
                <w:sz w:val="21"/>
                <w:szCs w:val="21"/>
                <w:highlight w:val="none"/>
                <w:shd w:val="clear" w:color="auto" w:fill="auto"/>
                <w:lang w:val="en-US" w:eastAsia="en-US"/>
              </w:rPr>
              <w:br w:type="textWrapping"/>
            </w:r>
            <w:r>
              <w:rPr>
                <w:rStyle w:val="39"/>
                <w:rFonts w:hint="eastAsia" w:ascii="宋体" w:hAnsi="宋体" w:eastAsia="宋体" w:cs="宋体"/>
                <w:color w:val="auto"/>
                <w:sz w:val="21"/>
                <w:szCs w:val="21"/>
                <w:highlight w:val="none"/>
                <w:shd w:val="clear" w:color="auto" w:fill="auto"/>
                <w:lang w:val="en-US" w:eastAsia="en-US"/>
              </w:rPr>
              <w:t>对上述评审内容进行打分，每满足一项评审标准的得</w:t>
            </w:r>
            <w:r>
              <w:rPr>
                <w:rStyle w:val="39"/>
                <w:rFonts w:hint="eastAsia" w:ascii="宋体" w:hAnsi="宋体" w:eastAsia="宋体" w:cs="宋体"/>
                <w:color w:val="auto"/>
                <w:sz w:val="21"/>
                <w:szCs w:val="21"/>
                <w:highlight w:val="none"/>
                <w:shd w:val="clear" w:color="auto" w:fill="auto"/>
                <w:lang w:val="en-US" w:eastAsia="zh-CN"/>
              </w:rPr>
              <w:t>1</w:t>
            </w:r>
            <w:r>
              <w:rPr>
                <w:rStyle w:val="39"/>
                <w:rFonts w:hint="eastAsia" w:ascii="宋体" w:hAnsi="宋体" w:eastAsia="宋体" w:cs="宋体"/>
                <w:color w:val="auto"/>
                <w:sz w:val="21"/>
                <w:szCs w:val="21"/>
                <w:highlight w:val="none"/>
                <w:shd w:val="clear" w:color="auto" w:fill="auto"/>
                <w:lang w:val="en-US" w:eastAsia="en-US"/>
              </w:rPr>
              <w:t>分，最高得</w:t>
            </w:r>
            <w:r>
              <w:rPr>
                <w:rStyle w:val="39"/>
                <w:rFonts w:hint="eastAsia" w:ascii="宋体" w:hAnsi="宋体" w:eastAsia="宋体" w:cs="宋体"/>
                <w:color w:val="auto"/>
                <w:sz w:val="21"/>
                <w:szCs w:val="21"/>
                <w:highlight w:val="none"/>
                <w:shd w:val="clear" w:color="auto" w:fill="auto"/>
                <w:lang w:val="en-US" w:eastAsia="zh-CN"/>
              </w:rPr>
              <w:t>4</w:t>
            </w:r>
            <w:r>
              <w:rPr>
                <w:rStyle w:val="39"/>
                <w:rFonts w:hint="eastAsia" w:ascii="宋体" w:hAnsi="宋体" w:eastAsia="宋体" w:cs="宋体"/>
                <w:color w:val="auto"/>
                <w:sz w:val="21"/>
                <w:szCs w:val="21"/>
                <w:highlight w:val="none"/>
                <w:shd w:val="clear" w:color="auto" w:fill="auto"/>
                <w:lang w:val="en-US" w:eastAsia="en-US"/>
              </w:rPr>
              <w:t>分。未提供</w:t>
            </w:r>
            <w:r>
              <w:rPr>
                <w:rStyle w:val="39"/>
                <w:rFonts w:hint="eastAsia" w:ascii="宋体" w:hAnsi="宋体" w:eastAsia="宋体" w:cs="宋体"/>
                <w:color w:val="auto"/>
                <w:sz w:val="21"/>
                <w:szCs w:val="21"/>
                <w:highlight w:val="none"/>
                <w:shd w:val="clear" w:color="auto" w:fill="auto"/>
                <w:lang w:val="en-US" w:eastAsia="zh-CN"/>
              </w:rPr>
              <w:t>不得分</w:t>
            </w:r>
            <w:r>
              <w:rPr>
                <w:rStyle w:val="39"/>
                <w:rFonts w:hint="eastAsia" w:ascii="宋体" w:hAnsi="宋体" w:eastAsia="宋体" w:cs="宋体"/>
                <w:color w:val="auto"/>
                <w:sz w:val="21"/>
                <w:szCs w:val="21"/>
                <w:highlight w:val="none"/>
                <w:shd w:val="clear" w:color="auto" w:fill="auto"/>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63"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现场演示</w:t>
            </w:r>
          </w:p>
          <w:p>
            <w:pPr>
              <w:widowControl/>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（11分）</w:t>
            </w:r>
          </w:p>
        </w:tc>
        <w:tc>
          <w:tcPr>
            <w:tcW w:w="7875" w:type="dxa"/>
            <w:shd w:val="clear" w:color="auto" w:fill="auto"/>
            <w:noWrap w:val="0"/>
            <w:tcMar>
              <w:top w:w="15" w:type="dxa"/>
              <w:left w:w="15" w:type="dxa"/>
              <w:right w:w="15" w:type="dxa"/>
            </w:tcMar>
            <w:vAlign w:val="top"/>
          </w:tcPr>
          <w:p>
            <w:pPr>
              <w:bidi w:val="0"/>
              <w:spacing w:line="240" w:lineRule="auto"/>
              <w:rPr>
                <w:rStyle w:val="39"/>
                <w:rFonts w:hint="eastAsia" w:ascii="宋体" w:hAnsi="宋体" w:eastAsia="宋体" w:cs="宋体"/>
                <w:color w:val="auto"/>
                <w:sz w:val="21"/>
                <w:szCs w:val="21"/>
                <w:highlight w:val="none"/>
                <w:shd w:val="clear" w:color="auto" w:fill="auto"/>
                <w:lang w:val="en-US" w:eastAsia="en-US"/>
              </w:rPr>
            </w:pPr>
            <w:r>
              <w:rPr>
                <w:rStyle w:val="39"/>
                <w:rFonts w:hint="eastAsia" w:ascii="宋体" w:hAnsi="宋体" w:eastAsia="宋体" w:cs="宋体"/>
                <w:color w:val="auto"/>
                <w:sz w:val="21"/>
                <w:szCs w:val="21"/>
                <w:highlight w:val="none"/>
                <w:shd w:val="clear" w:color="auto" w:fill="auto"/>
                <w:lang w:val="en-US" w:eastAsia="en-US"/>
              </w:rPr>
              <w:t>根据供应商提供的现场功能演示效果（供应商自行携带设备，每家供应商演示不超过5分钟）进行</w:t>
            </w:r>
            <w:r>
              <w:rPr>
                <w:rStyle w:val="39"/>
                <w:rFonts w:hint="eastAsia" w:ascii="宋体" w:hAnsi="宋体" w:eastAsia="宋体" w:cs="宋体"/>
                <w:color w:val="auto"/>
                <w:sz w:val="21"/>
                <w:szCs w:val="21"/>
                <w:highlight w:val="none"/>
                <w:shd w:val="clear" w:color="auto" w:fill="auto"/>
                <w:lang w:val="en-US" w:eastAsia="zh-CN"/>
              </w:rPr>
              <w:t>打分</w:t>
            </w:r>
            <w:r>
              <w:rPr>
                <w:rStyle w:val="39"/>
                <w:rFonts w:hint="eastAsia" w:ascii="宋体" w:hAnsi="宋体" w:eastAsia="宋体" w:cs="宋体"/>
                <w:color w:val="auto"/>
                <w:sz w:val="21"/>
                <w:szCs w:val="21"/>
                <w:highlight w:val="none"/>
                <w:shd w:val="clear" w:color="auto" w:fill="auto"/>
                <w:lang w:val="en-US" w:eastAsia="en-US"/>
              </w:rPr>
              <w:t>：</w:t>
            </w:r>
          </w:p>
          <w:p>
            <w:pPr>
              <w:bidi w:val="0"/>
              <w:spacing w:line="240" w:lineRule="auto"/>
              <w:rPr>
                <w:rStyle w:val="39"/>
                <w:rFonts w:hint="eastAsia" w:ascii="宋体" w:hAnsi="宋体" w:eastAsia="宋体" w:cs="宋体"/>
                <w:color w:val="auto"/>
                <w:sz w:val="21"/>
                <w:szCs w:val="21"/>
                <w:highlight w:val="none"/>
                <w:shd w:val="clear" w:color="auto" w:fill="auto"/>
                <w:lang w:val="en-US" w:eastAsia="en-US"/>
              </w:rPr>
            </w:pPr>
            <w:r>
              <w:rPr>
                <w:rStyle w:val="39"/>
                <w:rFonts w:hint="eastAsia" w:ascii="宋体" w:hAnsi="宋体" w:eastAsia="宋体" w:cs="宋体"/>
                <w:color w:val="auto"/>
                <w:sz w:val="21"/>
                <w:szCs w:val="21"/>
                <w:highlight w:val="none"/>
                <w:shd w:val="clear" w:color="auto" w:fill="auto"/>
                <w:lang w:val="en-US" w:eastAsia="zh-CN"/>
              </w:rPr>
              <w:t>1.</w:t>
            </w:r>
            <w:r>
              <w:rPr>
                <w:rStyle w:val="39"/>
                <w:rFonts w:hint="eastAsia" w:ascii="宋体" w:hAnsi="宋体" w:eastAsia="宋体" w:cs="宋体"/>
                <w:color w:val="auto"/>
                <w:sz w:val="21"/>
                <w:szCs w:val="21"/>
                <w:highlight w:val="none"/>
                <w:shd w:val="clear" w:color="auto" w:fill="auto"/>
                <w:lang w:val="en-US" w:eastAsia="en-US"/>
              </w:rPr>
              <w:t>现场使用无线团队讲解发射机和接收机，设备运行正常，音质较好，接收机佩戴方便不易掉落。供应商需自带设备真机真系统对本功能进行现场演示，以上功能全部演示成功得</w:t>
            </w:r>
            <w:r>
              <w:rPr>
                <w:rStyle w:val="39"/>
                <w:rFonts w:hint="eastAsia" w:ascii="宋体" w:hAnsi="宋体" w:eastAsia="宋体" w:cs="宋体"/>
                <w:color w:val="auto"/>
                <w:sz w:val="21"/>
                <w:szCs w:val="21"/>
                <w:highlight w:val="none"/>
                <w:shd w:val="clear" w:color="auto" w:fill="auto"/>
                <w:lang w:val="en-US" w:eastAsia="zh-CN"/>
              </w:rPr>
              <w:t>4</w:t>
            </w:r>
            <w:r>
              <w:rPr>
                <w:rStyle w:val="39"/>
                <w:rFonts w:hint="eastAsia" w:ascii="宋体" w:hAnsi="宋体" w:eastAsia="宋体" w:cs="宋体"/>
                <w:color w:val="auto"/>
                <w:sz w:val="21"/>
                <w:szCs w:val="21"/>
                <w:highlight w:val="none"/>
                <w:shd w:val="clear" w:color="auto" w:fill="auto"/>
                <w:lang w:val="en-US" w:eastAsia="en-US"/>
              </w:rPr>
              <w:t>分，不满足演示内容或未提供演示的本项不得分。</w:t>
            </w:r>
          </w:p>
          <w:p>
            <w:pPr>
              <w:bidi w:val="0"/>
              <w:spacing w:line="240" w:lineRule="auto"/>
              <w:rPr>
                <w:rStyle w:val="39"/>
                <w:rFonts w:hint="eastAsia" w:ascii="宋体" w:hAnsi="宋体" w:eastAsia="宋体" w:cs="宋体"/>
                <w:color w:val="auto"/>
                <w:sz w:val="21"/>
                <w:szCs w:val="21"/>
                <w:highlight w:val="none"/>
                <w:shd w:val="clear" w:color="auto" w:fill="auto"/>
                <w:lang w:val="en-US" w:eastAsia="en-US"/>
              </w:rPr>
            </w:pPr>
            <w:r>
              <w:rPr>
                <w:rStyle w:val="39"/>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lang w:val="en-US"/>
              </w:rPr>
              <w:t>现场使用无线团队讲解发射机和接收机，通过发射机发言，设备自动将接收到的中文语音翻译成英文语音，并在接收机中听到翻译后对应的语音内容。</w:t>
            </w:r>
            <w:r>
              <w:rPr>
                <w:rStyle w:val="39"/>
                <w:rFonts w:hint="eastAsia" w:ascii="宋体" w:hAnsi="宋体" w:eastAsia="宋体" w:cs="宋体"/>
                <w:color w:val="auto"/>
                <w:sz w:val="21"/>
                <w:szCs w:val="21"/>
                <w:highlight w:val="none"/>
                <w:shd w:val="clear" w:color="auto" w:fill="auto"/>
                <w:lang w:val="en-US" w:eastAsia="en-US"/>
              </w:rPr>
              <w:t>供应商需自带设备真机真系统对本功能进行现场演示，演示成功得</w:t>
            </w:r>
            <w:r>
              <w:rPr>
                <w:rStyle w:val="39"/>
                <w:rFonts w:hint="eastAsia" w:ascii="宋体" w:hAnsi="宋体" w:eastAsia="宋体" w:cs="宋体"/>
                <w:color w:val="auto"/>
                <w:sz w:val="21"/>
                <w:szCs w:val="21"/>
                <w:highlight w:val="none"/>
                <w:shd w:val="clear" w:color="auto" w:fill="auto"/>
                <w:lang w:val="en-US" w:eastAsia="zh-CN"/>
              </w:rPr>
              <w:t>4</w:t>
            </w:r>
            <w:r>
              <w:rPr>
                <w:rStyle w:val="39"/>
                <w:rFonts w:hint="eastAsia" w:ascii="宋体" w:hAnsi="宋体" w:eastAsia="宋体" w:cs="宋体"/>
                <w:color w:val="auto"/>
                <w:sz w:val="21"/>
                <w:szCs w:val="21"/>
                <w:highlight w:val="none"/>
                <w:shd w:val="clear" w:color="auto" w:fill="auto"/>
                <w:lang w:val="en-US" w:eastAsia="en-US"/>
              </w:rPr>
              <w:t>分，不满足演示内容或未提供演示的本项不得分。</w:t>
            </w:r>
          </w:p>
          <w:p>
            <w:pPr>
              <w:bidi w:val="0"/>
              <w:spacing w:line="240" w:lineRule="auto"/>
              <w:rPr>
                <w:rStyle w:val="39"/>
                <w:rFonts w:hint="eastAsia" w:ascii="宋体" w:hAnsi="宋体" w:eastAsia="宋体" w:cs="宋体"/>
                <w:color w:val="auto"/>
                <w:sz w:val="21"/>
                <w:szCs w:val="21"/>
                <w:highlight w:val="none"/>
                <w:shd w:val="clear" w:color="auto" w:fill="auto"/>
                <w:lang w:val="en-US" w:eastAsia="zh-CN"/>
              </w:rPr>
            </w:pPr>
            <w:r>
              <w:rPr>
                <w:rStyle w:val="39"/>
                <w:rFonts w:hint="eastAsia" w:ascii="宋体" w:hAnsi="宋体" w:eastAsia="宋体" w:cs="宋体"/>
                <w:color w:val="auto"/>
                <w:sz w:val="21"/>
                <w:szCs w:val="21"/>
                <w:highlight w:val="none"/>
                <w:shd w:val="clear" w:color="auto" w:fill="auto"/>
                <w:lang w:val="en-US" w:eastAsia="zh-CN"/>
              </w:rPr>
              <w:t>3.</w:t>
            </w:r>
            <w:r>
              <w:rPr>
                <w:rStyle w:val="39"/>
                <w:rFonts w:hint="eastAsia" w:ascii="宋体" w:hAnsi="宋体" w:eastAsia="宋体" w:cs="宋体"/>
                <w:color w:val="auto"/>
                <w:sz w:val="21"/>
                <w:szCs w:val="21"/>
                <w:highlight w:val="none"/>
                <w:shd w:val="clear" w:color="auto" w:fill="auto"/>
                <w:lang w:val="en-US" w:eastAsia="en-US"/>
              </w:rPr>
              <w:t>充电存储箱演示充电功能、一键设置接收机频道功能和消毒功能。供应商需自带设备真机真系统对本功能进行现场演示，以上功能全部演示成功得</w:t>
            </w:r>
            <w:r>
              <w:rPr>
                <w:rStyle w:val="39"/>
                <w:rFonts w:hint="eastAsia" w:ascii="宋体" w:hAnsi="宋体" w:eastAsia="宋体" w:cs="宋体"/>
                <w:color w:val="auto"/>
                <w:sz w:val="21"/>
                <w:szCs w:val="21"/>
                <w:highlight w:val="none"/>
                <w:shd w:val="clear" w:color="auto" w:fill="auto"/>
                <w:lang w:val="en-US" w:eastAsia="zh-CN"/>
              </w:rPr>
              <w:t>3</w:t>
            </w:r>
            <w:r>
              <w:rPr>
                <w:rStyle w:val="39"/>
                <w:rFonts w:hint="eastAsia" w:ascii="宋体" w:hAnsi="宋体" w:eastAsia="宋体" w:cs="宋体"/>
                <w:color w:val="auto"/>
                <w:sz w:val="21"/>
                <w:szCs w:val="21"/>
                <w:highlight w:val="none"/>
                <w:shd w:val="clear" w:color="auto" w:fill="auto"/>
                <w:lang w:val="en-US" w:eastAsia="en-US"/>
              </w:rPr>
              <w:t>分，不满足演示内容或未提供演示的本项不得分。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63"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7875" w:type="dxa"/>
            <w:shd w:val="clear" w:color="auto" w:fill="auto"/>
            <w:noWrap w:val="0"/>
            <w:tcMar>
              <w:top w:w="15" w:type="dxa"/>
              <w:left w:w="15" w:type="dxa"/>
              <w:right w:w="15" w:type="dxa"/>
            </w:tcMar>
            <w:vAlign w:val="center"/>
          </w:tcPr>
          <w:p>
            <w:pPr>
              <w:bidi w:val="0"/>
              <w:spacing w:line="240" w:lineRule="auto"/>
              <w:rPr>
                <w:rStyle w:val="39"/>
                <w:rFonts w:hint="eastAsia" w:ascii="宋体" w:hAnsi="宋体" w:eastAsia="宋体" w:cs="宋体"/>
                <w:color w:val="auto"/>
                <w:sz w:val="21"/>
                <w:szCs w:val="21"/>
                <w:highlight w:val="none"/>
                <w:shd w:val="clear" w:color="auto" w:fill="auto"/>
                <w:lang w:val="en-US" w:eastAsia="zh-CN"/>
              </w:rPr>
            </w:pPr>
            <w:r>
              <w:rPr>
                <w:rStyle w:val="39"/>
                <w:rFonts w:hint="eastAsia" w:ascii="宋体" w:hAnsi="宋体" w:eastAsia="宋体" w:cs="宋体"/>
                <w:color w:val="auto"/>
                <w:sz w:val="21"/>
                <w:szCs w:val="21"/>
                <w:highlight w:val="none"/>
                <w:shd w:val="clear" w:color="auto" w:fill="auto"/>
                <w:lang w:val="en-US" w:eastAsia="en-US"/>
              </w:rPr>
              <w:t>供应商</w:t>
            </w:r>
            <w:r>
              <w:rPr>
                <w:rStyle w:val="39"/>
                <w:rFonts w:hint="eastAsia" w:ascii="宋体" w:hAnsi="宋体" w:eastAsia="宋体" w:cs="宋体"/>
                <w:color w:val="auto"/>
                <w:sz w:val="21"/>
                <w:szCs w:val="21"/>
                <w:highlight w:val="none"/>
                <w:shd w:val="clear" w:color="auto" w:fill="auto"/>
                <w:lang w:val="en-US" w:eastAsia="zh-CN"/>
              </w:rPr>
              <w:t>提供自</w:t>
            </w:r>
            <w:r>
              <w:rPr>
                <w:rStyle w:val="39"/>
                <w:rFonts w:hint="eastAsia" w:ascii="宋体" w:hAnsi="宋体" w:eastAsia="宋体" w:cs="宋体"/>
                <w:color w:val="auto"/>
                <w:sz w:val="21"/>
                <w:szCs w:val="21"/>
                <w:highlight w:val="none"/>
                <w:shd w:val="clear" w:color="auto" w:fill="auto"/>
                <w:lang w:val="en-US" w:eastAsia="en-US"/>
              </w:rPr>
              <w:t>2022年</w:t>
            </w:r>
            <w:r>
              <w:rPr>
                <w:rStyle w:val="39"/>
                <w:rFonts w:hint="eastAsia" w:ascii="宋体" w:hAnsi="宋体" w:eastAsia="宋体" w:cs="宋体"/>
                <w:color w:val="auto"/>
                <w:sz w:val="21"/>
                <w:szCs w:val="21"/>
                <w:highlight w:val="none"/>
                <w:shd w:val="clear" w:color="auto" w:fill="auto"/>
                <w:lang w:val="en-US" w:eastAsia="zh-CN"/>
              </w:rPr>
              <w:t>1</w:t>
            </w:r>
            <w:r>
              <w:rPr>
                <w:rStyle w:val="39"/>
                <w:rFonts w:hint="eastAsia" w:ascii="宋体" w:hAnsi="宋体" w:eastAsia="宋体" w:cs="宋体"/>
                <w:color w:val="auto"/>
                <w:sz w:val="21"/>
                <w:szCs w:val="21"/>
                <w:highlight w:val="none"/>
                <w:shd w:val="clear" w:color="auto" w:fill="auto"/>
                <w:lang w:val="en-US" w:eastAsia="en-US"/>
              </w:rPr>
              <w:t>月1日（以合同签订时间为准）以来的类似</w:t>
            </w:r>
            <w:r>
              <w:rPr>
                <w:rStyle w:val="39"/>
                <w:rFonts w:hint="eastAsia" w:ascii="宋体" w:hAnsi="宋体" w:eastAsia="宋体" w:cs="宋体"/>
                <w:color w:val="auto"/>
                <w:sz w:val="21"/>
                <w:szCs w:val="21"/>
                <w:highlight w:val="none"/>
                <w:shd w:val="clear" w:color="auto" w:fill="auto"/>
                <w:lang w:val="en-US" w:eastAsia="zh-CN"/>
              </w:rPr>
              <w:t>业绩</w:t>
            </w:r>
            <w:r>
              <w:rPr>
                <w:rStyle w:val="39"/>
                <w:rFonts w:hint="eastAsia" w:ascii="宋体" w:hAnsi="宋体" w:eastAsia="宋体" w:cs="宋体"/>
                <w:color w:val="auto"/>
                <w:sz w:val="21"/>
                <w:szCs w:val="21"/>
                <w:highlight w:val="none"/>
                <w:shd w:val="clear" w:color="auto" w:fill="auto"/>
                <w:lang w:val="en-US" w:eastAsia="en-US"/>
              </w:rPr>
              <w:t>，每提供一个得</w:t>
            </w:r>
            <w:r>
              <w:rPr>
                <w:rStyle w:val="39"/>
                <w:rFonts w:hint="eastAsia" w:ascii="宋体" w:hAnsi="宋体" w:eastAsia="宋体" w:cs="宋体"/>
                <w:color w:val="auto"/>
                <w:sz w:val="21"/>
                <w:szCs w:val="21"/>
                <w:highlight w:val="none"/>
                <w:shd w:val="clear" w:color="auto" w:fill="auto"/>
                <w:lang w:val="en-US" w:eastAsia="zh-CN"/>
              </w:rPr>
              <w:t>1</w:t>
            </w:r>
            <w:r>
              <w:rPr>
                <w:rStyle w:val="39"/>
                <w:rFonts w:hint="eastAsia" w:ascii="宋体" w:hAnsi="宋体" w:eastAsia="宋体" w:cs="宋体"/>
                <w:color w:val="auto"/>
                <w:sz w:val="21"/>
                <w:szCs w:val="21"/>
                <w:highlight w:val="none"/>
                <w:shd w:val="clear" w:color="auto" w:fill="auto"/>
                <w:lang w:val="en-US" w:eastAsia="en-US"/>
              </w:rPr>
              <w:t>分，最多得</w:t>
            </w:r>
            <w:r>
              <w:rPr>
                <w:rStyle w:val="39"/>
                <w:rFonts w:hint="eastAsia" w:ascii="宋体" w:hAnsi="宋体" w:eastAsia="宋体" w:cs="宋体"/>
                <w:color w:val="auto"/>
                <w:sz w:val="21"/>
                <w:szCs w:val="21"/>
                <w:highlight w:val="none"/>
                <w:shd w:val="clear" w:color="auto" w:fill="auto"/>
                <w:lang w:val="en-US" w:eastAsia="zh-CN"/>
              </w:rPr>
              <w:t>5</w:t>
            </w:r>
            <w:r>
              <w:rPr>
                <w:rStyle w:val="39"/>
                <w:rFonts w:hint="eastAsia" w:ascii="宋体" w:hAnsi="宋体" w:eastAsia="宋体" w:cs="宋体"/>
                <w:color w:val="auto"/>
                <w:sz w:val="21"/>
                <w:szCs w:val="21"/>
                <w:highlight w:val="none"/>
                <w:shd w:val="clear" w:color="auto" w:fill="auto"/>
                <w:lang w:val="en-US" w:eastAsia="en-US"/>
              </w:rPr>
              <w:t>分（提供</w:t>
            </w:r>
            <w:r>
              <w:rPr>
                <w:rStyle w:val="39"/>
                <w:rFonts w:hint="eastAsia" w:ascii="宋体" w:hAnsi="宋体" w:eastAsia="宋体" w:cs="宋体"/>
                <w:color w:val="auto"/>
                <w:sz w:val="21"/>
                <w:szCs w:val="21"/>
                <w:highlight w:val="none"/>
                <w:shd w:val="clear" w:color="auto" w:fill="auto"/>
                <w:lang w:val="en-US" w:eastAsia="zh-CN"/>
              </w:rPr>
              <w:t>完整的合同复印件及与合同对应的部分发票复印件，缺少一项该合同不得分</w:t>
            </w:r>
            <w:r>
              <w:rPr>
                <w:rStyle w:val="39"/>
                <w:rFonts w:hint="eastAsia" w:ascii="宋体" w:hAnsi="宋体" w:eastAsia="宋体" w:cs="宋体"/>
                <w:color w:val="auto"/>
                <w:sz w:val="21"/>
                <w:szCs w:val="21"/>
                <w:highlight w:val="none"/>
                <w:shd w:val="clear" w:color="auto" w:fill="auto"/>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63"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w:t>
            </w:r>
          </w:p>
          <w:p>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7875" w:type="dxa"/>
            <w:shd w:val="clear" w:color="auto" w:fill="auto"/>
            <w:noWrap w:val="0"/>
            <w:tcMar>
              <w:top w:w="15" w:type="dxa"/>
              <w:left w:w="15" w:type="dxa"/>
              <w:right w:w="15" w:type="dxa"/>
            </w:tcMar>
            <w:vAlign w:val="center"/>
          </w:tcPr>
          <w:p>
            <w:pPr>
              <w:bidi w:val="0"/>
              <w:spacing w:line="240" w:lineRule="auto"/>
              <w:rPr>
                <w:rStyle w:val="39"/>
                <w:rFonts w:hint="eastAsia" w:ascii="宋体" w:hAnsi="宋体" w:eastAsia="宋体" w:cs="宋体"/>
                <w:color w:val="auto"/>
                <w:sz w:val="21"/>
                <w:szCs w:val="21"/>
                <w:highlight w:val="none"/>
                <w:shd w:val="clear" w:color="auto" w:fill="auto"/>
                <w:lang w:val="en-US" w:eastAsia="zh-CN"/>
              </w:rPr>
            </w:pPr>
            <w:r>
              <w:rPr>
                <w:rStyle w:val="39"/>
                <w:rFonts w:hint="eastAsia" w:ascii="宋体" w:hAnsi="宋体" w:eastAsia="宋体" w:cs="宋体"/>
                <w:color w:val="auto"/>
                <w:sz w:val="21"/>
                <w:szCs w:val="21"/>
                <w:highlight w:val="none"/>
                <w:shd w:val="clear" w:color="auto" w:fill="auto"/>
                <w:lang w:val="en-US" w:eastAsia="zh-CN"/>
              </w:rPr>
              <w:t>1.供应商具备由中华人民共和国国家知识产权局颁布的与讲解设备类相关的《集成电路布图设计登记证书》（权利人应为投标供应商），得1分；</w:t>
            </w:r>
          </w:p>
          <w:p>
            <w:pPr>
              <w:bidi w:val="0"/>
              <w:spacing w:line="240" w:lineRule="auto"/>
              <w:rPr>
                <w:rStyle w:val="39"/>
                <w:rFonts w:hint="eastAsia" w:ascii="宋体" w:hAnsi="宋体" w:eastAsia="宋体" w:cs="宋体"/>
                <w:color w:val="auto"/>
                <w:sz w:val="21"/>
                <w:szCs w:val="21"/>
                <w:highlight w:val="none"/>
                <w:shd w:val="clear" w:color="auto" w:fill="auto"/>
                <w:lang w:val="en-US" w:eastAsia="zh-CN"/>
              </w:rPr>
            </w:pPr>
            <w:r>
              <w:rPr>
                <w:rStyle w:val="39"/>
                <w:rFonts w:hint="eastAsia" w:ascii="宋体" w:hAnsi="宋体" w:eastAsia="宋体" w:cs="宋体"/>
                <w:color w:val="auto"/>
                <w:sz w:val="21"/>
                <w:szCs w:val="21"/>
                <w:highlight w:val="none"/>
                <w:shd w:val="clear" w:color="auto" w:fill="auto"/>
                <w:lang w:val="en-US" w:eastAsia="zh-CN"/>
              </w:rPr>
              <w:t>2.供应商具有无线讲解器发射、接收软件相关的由中华人民共和国国家版权局颁发的计算机软件著作权登记证书的，能够提供1项得1分，本项最高为2分。</w:t>
            </w:r>
          </w:p>
          <w:p>
            <w:pPr>
              <w:bidi w:val="0"/>
              <w:spacing w:line="240" w:lineRule="auto"/>
              <w:rPr>
                <w:rStyle w:val="39"/>
                <w:rFonts w:hint="eastAsia" w:ascii="宋体" w:hAnsi="宋体" w:eastAsia="宋体" w:cs="宋体"/>
                <w:color w:val="auto"/>
                <w:sz w:val="21"/>
                <w:szCs w:val="21"/>
                <w:highlight w:val="none"/>
                <w:shd w:val="clear" w:color="auto" w:fill="auto"/>
                <w:lang w:val="en-US" w:eastAsia="en-US"/>
              </w:rPr>
            </w:pPr>
            <w:r>
              <w:rPr>
                <w:rStyle w:val="39"/>
                <w:rFonts w:hint="eastAsia" w:ascii="宋体" w:hAnsi="宋体" w:eastAsia="宋体" w:cs="宋体"/>
                <w:color w:val="auto"/>
                <w:sz w:val="21"/>
                <w:szCs w:val="21"/>
                <w:highlight w:val="none"/>
                <w:shd w:val="clear" w:color="auto" w:fill="auto"/>
                <w:lang w:val="en-US" w:eastAsia="zh-CN"/>
              </w:rPr>
              <w:t>注：提供上述加盖公章的证书复印件，无复印件或复印件不清晰均不得分。</w:t>
            </w:r>
          </w:p>
        </w:tc>
      </w:tr>
    </w:tbl>
    <w:p>
      <w:pPr>
        <w:snapToGrid w:val="0"/>
        <w:ind w:firstLine="487" w:firstLineChars="202"/>
        <w:rPr>
          <w:rStyle w:val="39"/>
          <w:rFonts w:hint="eastAsia" w:ascii="宋体" w:hAnsi="宋体" w:eastAsia="宋体" w:cs="宋体"/>
          <w:b/>
          <w:color w:val="auto"/>
          <w:sz w:val="24"/>
          <w:szCs w:val="24"/>
          <w:highlight w:val="none"/>
          <w:lang w:val="en-US" w:eastAsia="zh-CN"/>
        </w:rPr>
      </w:pPr>
    </w:p>
    <w:p>
      <w:pPr>
        <w:snapToGrid w:val="0"/>
        <w:ind w:firstLine="487" w:firstLineChars="202"/>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（二）报价响应评分：（</w:t>
      </w:r>
      <w:r>
        <w:rPr>
          <w:rStyle w:val="39"/>
          <w:rFonts w:hint="eastAsia" w:ascii="宋体" w:hAnsi="宋体" w:eastAsia="宋体" w:cs="宋体"/>
          <w:b/>
          <w:color w:val="auto"/>
          <w:sz w:val="24"/>
          <w:szCs w:val="24"/>
          <w:highlight w:val="none"/>
          <w:lang w:val="en-US" w:eastAsia="zh-CN"/>
        </w:rPr>
        <w:t>5</w:t>
      </w:r>
      <w:r>
        <w:rPr>
          <w:rStyle w:val="39"/>
          <w:rFonts w:hint="eastAsia" w:ascii="宋体" w:hAnsi="宋体" w:eastAsia="宋体" w:cs="宋体"/>
          <w:b/>
          <w:color w:val="auto"/>
          <w:sz w:val="24"/>
          <w:szCs w:val="24"/>
          <w:highlight w:val="none"/>
        </w:rPr>
        <w:t>0分）</w:t>
      </w:r>
    </w:p>
    <w:p>
      <w:pPr>
        <w:snapToGrid w:val="0"/>
        <w:ind w:firstLine="487" w:firstLineChars="202"/>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lang w:eastAsia="zh-CN"/>
        </w:rPr>
        <w:t>1.</w:t>
      </w:r>
      <w:r>
        <w:rPr>
          <w:rStyle w:val="39"/>
          <w:rFonts w:hint="eastAsia" w:ascii="宋体" w:hAnsi="宋体" w:eastAsia="宋体" w:cs="宋体"/>
          <w:b/>
          <w:bCs/>
          <w:color w:val="auto"/>
          <w:sz w:val="24"/>
          <w:szCs w:val="24"/>
          <w:highlight w:val="none"/>
        </w:rPr>
        <w:t>本项目</w:t>
      </w:r>
      <w:r>
        <w:rPr>
          <w:rFonts w:hint="eastAsia" w:ascii="宋体" w:hAnsi="宋体" w:eastAsia="宋体" w:cs="宋体"/>
          <w:b/>
          <w:color w:val="auto"/>
          <w:sz w:val="24"/>
          <w:szCs w:val="24"/>
          <w:highlight w:val="none"/>
          <w:u w:val="single"/>
          <w:lang w:val="en-US" w:eastAsia="zh-CN"/>
        </w:rPr>
        <w:t>最高限价：18万元</w:t>
      </w:r>
      <w:r>
        <w:rPr>
          <w:rFonts w:hint="eastAsia"/>
          <w:color w:val="auto"/>
          <w:highlight w:val="none"/>
          <w:lang w:eastAsia="zh-CN"/>
        </w:rPr>
        <w:t>，</w:t>
      </w:r>
      <w:r>
        <w:rPr>
          <w:rFonts w:hint="eastAsia" w:ascii="宋体" w:hAnsi="宋体" w:eastAsia="宋体" w:cs="宋体"/>
          <w:b/>
          <w:bCs/>
          <w:color w:val="auto"/>
          <w:sz w:val="24"/>
          <w:szCs w:val="24"/>
          <w:highlight w:val="none"/>
        </w:rPr>
        <w:t>超过限价作</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bCs/>
          <w:color w:val="auto"/>
          <w:sz w:val="24"/>
          <w:szCs w:val="24"/>
          <w:highlight w:val="none"/>
        </w:rPr>
        <w:t>处理。</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满足招标文件要求且投标报价最低的报价为评标基准价，其报价响应得分为满分。</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其他投标人的报价响应得分分别按照下列公式计算：</w:t>
      </w:r>
    </w:p>
    <w:p>
      <w:pPr>
        <w:snapToGrid w:val="0"/>
        <w:ind w:firstLine="484" w:firstLineChars="202"/>
        <w:rPr>
          <w:rStyle w:val="39"/>
          <w:rFonts w:hint="eastAsia" w:ascii="宋体" w:hAnsi="宋体" w:eastAsia="宋体" w:cs="宋体"/>
          <w:color w:val="auto"/>
          <w:highlight w:val="none"/>
        </w:rPr>
      </w:pPr>
      <w:r>
        <w:rPr>
          <w:rStyle w:val="39"/>
          <w:rFonts w:hint="eastAsia" w:ascii="宋体" w:hAnsi="宋体" w:eastAsia="宋体" w:cs="宋体"/>
          <w:color w:val="auto"/>
          <w:sz w:val="24"/>
          <w:szCs w:val="24"/>
          <w:highlight w:val="none"/>
        </w:rPr>
        <w:t>报价响应得分 =（评标基准价/投标报价）×</w:t>
      </w:r>
      <w:r>
        <w:rPr>
          <w:rStyle w:val="39"/>
          <w:rFonts w:hint="eastAsia" w:ascii="宋体" w:hAnsi="宋体" w:eastAsia="宋体" w:cs="宋体"/>
          <w:color w:val="auto"/>
          <w:sz w:val="24"/>
          <w:szCs w:val="24"/>
          <w:highlight w:val="none"/>
          <w:lang w:val="en-US" w:eastAsia="zh-CN"/>
        </w:rPr>
        <w:t>5</w:t>
      </w:r>
      <w:r>
        <w:rPr>
          <w:rStyle w:val="39"/>
          <w:rFonts w:hint="eastAsia" w:ascii="宋体" w:hAnsi="宋体" w:eastAsia="宋体" w:cs="宋体"/>
          <w:color w:val="auto"/>
          <w:sz w:val="24"/>
          <w:szCs w:val="24"/>
          <w:highlight w:val="none"/>
        </w:rPr>
        <w:t>0%×100</w:t>
      </w:r>
    </w:p>
    <w:p>
      <w:pPr>
        <w:snapToGrid w:val="0"/>
        <w:ind w:firstLine="482" w:firstLineChars="200"/>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（三）评标争议</w:t>
      </w:r>
    </w:p>
    <w:p>
      <w:pPr>
        <w:snapToGrid w:val="0"/>
        <w:ind w:firstLine="573"/>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评标时评委对评标的细则若有争议，由评标委员会评委集体讨论确定，并对未尽情况有最终解释权。</w:t>
      </w:r>
    </w:p>
    <w:p>
      <w:pPr>
        <w:snapToGrid w:val="0"/>
        <w:ind w:firstLine="482" w:firstLineChars="200"/>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4"/>
          <w:szCs w:val="24"/>
          <w:highlight w:val="none"/>
        </w:rPr>
        <w:t>（四）落标原因</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评标委员会不对落标的投标人做落标原因的解释。</w:t>
      </w:r>
    </w:p>
    <w:p>
      <w:pPr>
        <w:snapToGrid w:val="0"/>
        <w:ind w:firstLine="482" w:firstLineChars="200"/>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九、出现下列情形之一的，作无效投标处理：</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投标文件未按招标文件要求</w:t>
      </w:r>
      <w:r>
        <w:rPr>
          <w:rStyle w:val="39"/>
          <w:rFonts w:hint="eastAsia" w:ascii="宋体" w:hAnsi="宋体" w:eastAsia="宋体" w:cs="宋体"/>
          <w:color w:val="auto"/>
          <w:sz w:val="24"/>
          <w:szCs w:val="24"/>
          <w:highlight w:val="none"/>
          <w:lang w:val="en-US" w:eastAsia="zh-CN"/>
        </w:rPr>
        <w:t>密封、</w:t>
      </w:r>
      <w:r>
        <w:rPr>
          <w:rStyle w:val="39"/>
          <w:rFonts w:hint="eastAsia" w:ascii="宋体" w:hAnsi="宋体" w:eastAsia="宋体" w:cs="宋体"/>
          <w:color w:val="auto"/>
          <w:sz w:val="24"/>
          <w:szCs w:val="24"/>
          <w:highlight w:val="none"/>
        </w:rPr>
        <w:t>签署、盖章的；</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不具备招标文件中规定的资格要求的；</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报价超过招标文件中规定的预算金额或者最高限价的；</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投标文件含有采购人不能接受的附加条件的；</w:t>
      </w:r>
    </w:p>
    <w:p>
      <w:pPr>
        <w:snapToGrid w:val="0"/>
        <w:ind w:firstLine="480" w:firstLineChars="200"/>
        <w:rPr>
          <w:rStyle w:val="39"/>
          <w:rFonts w:hint="default" w:ascii="宋体" w:hAnsi="宋体" w:eastAsia="宋体" w:cs="宋体"/>
          <w:color w:val="auto"/>
          <w:sz w:val="24"/>
          <w:szCs w:val="24"/>
          <w:highlight w:val="none"/>
          <w:lang w:val="en-US" w:eastAsia="zh-CN"/>
        </w:rPr>
      </w:pPr>
      <w:r>
        <w:rPr>
          <w:rStyle w:val="39"/>
          <w:rFonts w:hint="eastAsia" w:ascii="宋体" w:hAnsi="宋体" w:eastAsia="宋体" w:cs="宋体"/>
          <w:color w:val="auto"/>
          <w:sz w:val="24"/>
          <w:szCs w:val="24"/>
          <w:highlight w:val="none"/>
          <w:lang w:val="en-US" w:eastAsia="zh-CN"/>
        </w:rPr>
        <w:t>5.</w:t>
      </w:r>
      <w:r>
        <w:rPr>
          <w:rStyle w:val="39"/>
          <w:rFonts w:hint="eastAsia" w:ascii="宋体" w:hAnsi="宋体" w:eastAsia="宋体" w:cs="宋体"/>
          <w:color w:val="auto"/>
          <w:sz w:val="24"/>
          <w:szCs w:val="24"/>
          <w:highlight w:val="none"/>
          <w:lang w:eastAsia="zh-CN"/>
        </w:rPr>
        <w:t>投标供应商</w:t>
      </w:r>
      <w:r>
        <w:rPr>
          <w:rStyle w:val="39"/>
          <w:rFonts w:hint="eastAsia" w:ascii="宋体" w:hAnsi="宋体" w:eastAsia="宋体" w:cs="宋体"/>
          <w:color w:val="auto"/>
          <w:sz w:val="24"/>
          <w:szCs w:val="24"/>
          <w:highlight w:val="none"/>
        </w:rPr>
        <w:t>的商务技术部分得分相差悬殊，评标委员会一致认为得分畸低者没有实质性响应的。</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val="en-US" w:eastAsia="zh-CN"/>
        </w:rPr>
        <w:t>6</w:t>
      </w:r>
      <w:r>
        <w:rPr>
          <w:rStyle w:val="39"/>
          <w:rFonts w:hint="eastAsia" w:ascii="宋体" w:hAnsi="宋体" w:eastAsia="宋体" w:cs="宋体"/>
          <w:color w:val="auto"/>
          <w:sz w:val="24"/>
          <w:szCs w:val="24"/>
          <w:highlight w:val="none"/>
          <w:lang w:eastAsia="zh-CN"/>
        </w:rPr>
        <w:t>.</w:t>
      </w:r>
      <w:r>
        <w:rPr>
          <w:rStyle w:val="39"/>
          <w:rFonts w:hint="eastAsia" w:ascii="宋体" w:hAnsi="宋体" w:eastAsia="宋体" w:cs="宋体"/>
          <w:color w:val="auto"/>
          <w:sz w:val="24"/>
          <w:szCs w:val="24"/>
          <w:highlight w:val="none"/>
        </w:rPr>
        <w:t>法律、法规和招标文件规定的其他无效情形。</w:t>
      </w:r>
    </w:p>
    <w:p>
      <w:pPr>
        <w:snapToGrid w:val="0"/>
        <w:ind w:firstLine="482"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b/>
          <w:color w:val="auto"/>
          <w:sz w:val="24"/>
          <w:szCs w:val="24"/>
          <w:highlight w:val="none"/>
        </w:rPr>
        <w:t>十、有下列情形之一的，视为投标供应商串通投标，其投标无效</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不同投标供应商的投标文件由同一单位或者个人编制；</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不同投标供应商委托同一单位或者个人办理投标事宜；</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不同投标供应商的投标文件载明的项目管理成员或者联系人员为同一人；</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不同投标供应商的投标文件异常一致或者投标报价呈规律性差异；</w:t>
      </w:r>
    </w:p>
    <w:p>
      <w:pPr>
        <w:snapToGrid w:val="0"/>
        <w:ind w:firstLine="484" w:firstLineChars="202"/>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5.</w:t>
      </w:r>
      <w:r>
        <w:rPr>
          <w:rStyle w:val="39"/>
          <w:rFonts w:hint="eastAsia" w:ascii="宋体" w:hAnsi="宋体" w:eastAsia="宋体" w:cs="宋体"/>
          <w:color w:val="auto"/>
          <w:sz w:val="24"/>
          <w:szCs w:val="24"/>
          <w:highlight w:val="none"/>
        </w:rPr>
        <w:t>不同投标供应商的投标文件相互混装；</w:t>
      </w:r>
    </w:p>
    <w:p>
      <w:pPr>
        <w:snapToGrid w:val="0"/>
        <w:ind w:firstLine="482" w:firstLineChars="200"/>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十</w:t>
      </w:r>
      <w:r>
        <w:rPr>
          <w:rStyle w:val="39"/>
          <w:rFonts w:hint="eastAsia" w:ascii="宋体" w:hAnsi="宋体" w:eastAsia="宋体" w:cs="宋体"/>
          <w:b/>
          <w:color w:val="auto"/>
          <w:sz w:val="24"/>
          <w:szCs w:val="24"/>
          <w:highlight w:val="none"/>
          <w:lang w:val="en-US" w:eastAsia="zh-CN"/>
        </w:rPr>
        <w:t>一</w:t>
      </w:r>
      <w:r>
        <w:rPr>
          <w:rStyle w:val="39"/>
          <w:rFonts w:hint="eastAsia" w:ascii="宋体" w:hAnsi="宋体" w:eastAsia="宋体" w:cs="宋体"/>
          <w:b/>
          <w:color w:val="auto"/>
          <w:sz w:val="24"/>
          <w:szCs w:val="24"/>
          <w:highlight w:val="none"/>
        </w:rPr>
        <w:t>、出现下列情形之一的，作废标处理：</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1.</w:t>
      </w:r>
      <w:r>
        <w:rPr>
          <w:rStyle w:val="39"/>
          <w:rFonts w:hint="eastAsia" w:ascii="宋体" w:hAnsi="宋体" w:eastAsia="宋体" w:cs="宋体"/>
          <w:color w:val="auto"/>
          <w:sz w:val="24"/>
          <w:szCs w:val="24"/>
          <w:highlight w:val="none"/>
        </w:rPr>
        <w:t>出现影响采购公正的违法违规行为的；</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2.</w:t>
      </w:r>
      <w:r>
        <w:rPr>
          <w:rStyle w:val="39"/>
          <w:rFonts w:hint="eastAsia" w:ascii="宋体" w:hAnsi="宋体" w:eastAsia="宋体" w:cs="宋体"/>
          <w:color w:val="auto"/>
          <w:sz w:val="24"/>
          <w:szCs w:val="24"/>
          <w:highlight w:val="none"/>
        </w:rPr>
        <w:t>所有投标供应商报价超出采购预算价的；</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3.</w:t>
      </w:r>
      <w:r>
        <w:rPr>
          <w:rStyle w:val="39"/>
          <w:rFonts w:hint="eastAsia" w:ascii="宋体" w:hAnsi="宋体" w:eastAsia="宋体" w:cs="宋体"/>
          <w:color w:val="auto"/>
          <w:sz w:val="24"/>
          <w:szCs w:val="24"/>
          <w:highlight w:val="none"/>
        </w:rPr>
        <w:t>因重大变故，采购任务被取消的；</w:t>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4.</w:t>
      </w:r>
      <w:r>
        <w:rPr>
          <w:rStyle w:val="39"/>
          <w:rFonts w:hint="eastAsia" w:ascii="宋体" w:hAnsi="宋体" w:eastAsia="宋体" w:cs="宋体"/>
          <w:color w:val="auto"/>
          <w:sz w:val="24"/>
          <w:szCs w:val="24"/>
          <w:highlight w:val="none"/>
        </w:rPr>
        <w:t>评标委员会依据法律法规可以认定为废标的其他情况。</w:t>
      </w:r>
    </w:p>
    <w:p>
      <w:pPr>
        <w:snapToGrid w:val="0"/>
        <w:ind w:firstLine="482" w:firstLineChars="200"/>
        <w:rPr>
          <w:rStyle w:val="39"/>
          <w:rFonts w:hint="eastAsia" w:ascii="宋体" w:hAnsi="宋体" w:eastAsia="宋体" w:cs="宋体"/>
          <w:b/>
          <w:color w:val="auto"/>
          <w:sz w:val="24"/>
          <w:szCs w:val="24"/>
          <w:highlight w:val="none"/>
        </w:rPr>
      </w:pPr>
      <w:r>
        <w:rPr>
          <w:rStyle w:val="39"/>
          <w:rFonts w:hint="eastAsia" w:ascii="宋体" w:hAnsi="宋体" w:eastAsia="宋体" w:cs="宋体"/>
          <w:b/>
          <w:color w:val="auto"/>
          <w:sz w:val="24"/>
          <w:szCs w:val="24"/>
          <w:highlight w:val="none"/>
        </w:rPr>
        <w:t>十</w:t>
      </w:r>
      <w:r>
        <w:rPr>
          <w:rStyle w:val="39"/>
          <w:rFonts w:hint="eastAsia" w:ascii="宋体" w:hAnsi="宋体" w:eastAsia="宋体" w:cs="宋体"/>
          <w:b/>
          <w:color w:val="auto"/>
          <w:sz w:val="24"/>
          <w:szCs w:val="24"/>
          <w:highlight w:val="none"/>
          <w:lang w:val="en-US" w:eastAsia="zh-CN"/>
        </w:rPr>
        <w:t>二</w:t>
      </w:r>
      <w:r>
        <w:rPr>
          <w:rStyle w:val="39"/>
          <w:rFonts w:hint="eastAsia" w:ascii="宋体" w:hAnsi="宋体" w:eastAsia="宋体" w:cs="宋体"/>
          <w:b/>
          <w:color w:val="auto"/>
          <w:sz w:val="24"/>
          <w:szCs w:val="24"/>
          <w:highlight w:val="none"/>
        </w:rPr>
        <w:t>、中标通知</w:t>
      </w:r>
    </w:p>
    <w:p>
      <w:pPr>
        <w:snapToGrid w:val="0"/>
        <w:ind w:firstLine="484" w:firstLineChars="202"/>
        <w:rPr>
          <w:rStyle w:val="39"/>
          <w:rFonts w:hint="eastAsia" w:ascii="宋体" w:hAnsi="宋体" w:eastAsia="宋体" w:cs="宋体"/>
          <w:color w:val="auto"/>
          <w:kern w:val="0"/>
          <w:sz w:val="24"/>
          <w:szCs w:val="24"/>
          <w:highlight w:val="none"/>
        </w:rPr>
      </w:pPr>
      <w:r>
        <w:rPr>
          <w:rStyle w:val="39"/>
          <w:rFonts w:hint="eastAsia" w:ascii="宋体" w:hAnsi="宋体" w:eastAsia="宋体" w:cs="宋体"/>
          <w:color w:val="auto"/>
          <w:kern w:val="0"/>
          <w:sz w:val="24"/>
          <w:szCs w:val="24"/>
          <w:highlight w:val="none"/>
          <w:lang w:eastAsia="zh-CN"/>
        </w:rPr>
        <w:t>1.</w:t>
      </w:r>
      <w:r>
        <w:rPr>
          <w:rStyle w:val="39"/>
          <w:rFonts w:hint="eastAsia" w:ascii="宋体" w:hAnsi="宋体" w:eastAsia="宋体" w:cs="宋体"/>
          <w:color w:val="auto"/>
          <w:kern w:val="0"/>
          <w:sz w:val="24"/>
          <w:szCs w:val="24"/>
          <w:highlight w:val="none"/>
        </w:rPr>
        <w:t>开标结束后，采购人自中标人确定之日起2个工作日内在指定媒体上</w:t>
      </w:r>
      <w:r>
        <w:rPr>
          <w:rStyle w:val="39"/>
          <w:rFonts w:hint="eastAsia" w:ascii="宋体" w:hAnsi="宋体" w:eastAsia="宋体" w:cs="宋体"/>
          <w:color w:val="auto"/>
          <w:kern w:val="0"/>
          <w:sz w:val="24"/>
          <w:szCs w:val="24"/>
          <w:highlight w:val="none"/>
          <w:lang w:val="en-US" w:eastAsia="zh-CN"/>
        </w:rPr>
        <w:t>公告</w:t>
      </w:r>
      <w:r>
        <w:rPr>
          <w:rStyle w:val="39"/>
          <w:rFonts w:hint="eastAsia" w:ascii="宋体" w:hAnsi="宋体" w:eastAsia="宋体" w:cs="宋体"/>
          <w:color w:val="auto"/>
          <w:kern w:val="0"/>
          <w:sz w:val="24"/>
          <w:szCs w:val="24"/>
          <w:highlight w:val="none"/>
        </w:rPr>
        <w:t>中标结果。</w:t>
      </w:r>
    </w:p>
    <w:p>
      <w:pPr>
        <w:snapToGrid w:val="0"/>
        <w:ind w:firstLine="484" w:firstLineChars="202"/>
        <w:rPr>
          <w:rStyle w:val="39"/>
          <w:rFonts w:hint="eastAsia" w:ascii="宋体" w:hAnsi="宋体" w:eastAsia="宋体" w:cs="宋体"/>
          <w:color w:val="auto"/>
          <w:kern w:val="0"/>
          <w:sz w:val="24"/>
          <w:szCs w:val="24"/>
          <w:highlight w:val="none"/>
        </w:rPr>
      </w:pPr>
      <w:r>
        <w:rPr>
          <w:rStyle w:val="39"/>
          <w:rFonts w:hint="eastAsia" w:ascii="宋体" w:hAnsi="宋体" w:eastAsia="宋体" w:cs="宋体"/>
          <w:color w:val="auto"/>
          <w:kern w:val="0"/>
          <w:sz w:val="24"/>
          <w:szCs w:val="24"/>
          <w:highlight w:val="none"/>
          <w:lang w:eastAsia="zh-CN"/>
        </w:rPr>
        <w:t>2.中标公告</w:t>
      </w:r>
      <w:r>
        <w:rPr>
          <w:rStyle w:val="39"/>
          <w:rFonts w:hint="eastAsia" w:ascii="宋体" w:hAnsi="宋体" w:eastAsia="宋体" w:cs="宋体"/>
          <w:color w:val="auto"/>
          <w:kern w:val="0"/>
          <w:sz w:val="24"/>
          <w:szCs w:val="24"/>
          <w:highlight w:val="none"/>
        </w:rPr>
        <w:t>期限为1个工作日。</w:t>
      </w:r>
    </w:p>
    <w:p>
      <w:pPr>
        <w:snapToGrid w:val="0"/>
        <w:ind w:firstLine="484" w:firstLineChars="202"/>
        <w:rPr>
          <w:rStyle w:val="39"/>
          <w:rFonts w:hint="eastAsia" w:ascii="宋体" w:hAnsi="宋体" w:eastAsia="宋体" w:cs="宋体"/>
          <w:b/>
          <w:bCs/>
          <w:color w:val="auto"/>
          <w:kern w:val="0"/>
          <w:sz w:val="24"/>
          <w:szCs w:val="24"/>
          <w:highlight w:val="none"/>
        </w:rPr>
      </w:pPr>
      <w:r>
        <w:rPr>
          <w:rStyle w:val="39"/>
          <w:rFonts w:hint="eastAsia" w:ascii="宋体" w:hAnsi="宋体" w:eastAsia="宋体" w:cs="宋体"/>
          <w:color w:val="auto"/>
          <w:kern w:val="0"/>
          <w:sz w:val="24"/>
          <w:szCs w:val="24"/>
          <w:highlight w:val="none"/>
          <w:lang w:eastAsia="zh-CN"/>
        </w:rPr>
        <w:t>3.</w:t>
      </w:r>
      <w:r>
        <w:rPr>
          <w:rStyle w:val="39"/>
          <w:rFonts w:hint="eastAsia" w:ascii="宋体" w:hAnsi="宋体" w:eastAsia="宋体" w:cs="宋体"/>
          <w:color w:val="auto"/>
          <w:kern w:val="0"/>
          <w:sz w:val="24"/>
          <w:szCs w:val="24"/>
          <w:highlight w:val="none"/>
        </w:rPr>
        <w:t>《中标通知书》一经发出，即具有法律效力。采购人、中标人依法承担法律责任。</w:t>
      </w:r>
      <w:r>
        <w:rPr>
          <w:rStyle w:val="39"/>
          <w:rFonts w:hint="eastAsia" w:ascii="宋体" w:hAnsi="宋体" w:eastAsia="宋体" w:cs="宋体"/>
          <w:b/>
          <w:bCs/>
          <w:color w:val="auto"/>
          <w:kern w:val="0"/>
          <w:sz w:val="24"/>
          <w:szCs w:val="24"/>
          <w:highlight w:val="none"/>
        </w:rPr>
        <w:t xml:space="preserve"> </w:t>
      </w:r>
    </w:p>
    <w:p>
      <w:pPr>
        <w:rPr>
          <w:rStyle w:val="39"/>
          <w:rFonts w:hint="eastAsia" w:ascii="宋体" w:hAnsi="宋体" w:eastAsia="宋体" w:cs="宋体"/>
          <w:b/>
          <w:color w:val="auto"/>
          <w:w w:val="80"/>
          <w:kern w:val="44"/>
          <w:sz w:val="36"/>
          <w:szCs w:val="36"/>
          <w:highlight w:val="none"/>
        </w:rPr>
      </w:pPr>
      <w:r>
        <w:rPr>
          <w:rStyle w:val="39"/>
          <w:rFonts w:hint="eastAsia" w:ascii="宋体" w:hAnsi="宋体" w:eastAsia="宋体" w:cs="宋体"/>
          <w:b/>
          <w:color w:val="auto"/>
          <w:w w:val="80"/>
          <w:kern w:val="44"/>
          <w:sz w:val="36"/>
          <w:szCs w:val="36"/>
          <w:highlight w:val="none"/>
        </w:rPr>
        <w:br w:type="page"/>
      </w:r>
    </w:p>
    <w:p>
      <w:pPr>
        <w:snapToGrid w:val="0"/>
        <w:jc w:val="center"/>
        <w:rPr>
          <w:rStyle w:val="39"/>
          <w:rFonts w:hint="eastAsia" w:ascii="宋体" w:hAnsi="宋体" w:eastAsia="宋体" w:cs="宋体"/>
          <w:b/>
          <w:color w:val="auto"/>
          <w:w w:val="80"/>
          <w:kern w:val="44"/>
          <w:sz w:val="36"/>
          <w:szCs w:val="36"/>
          <w:highlight w:val="none"/>
        </w:rPr>
      </w:pPr>
      <w:r>
        <w:rPr>
          <w:rStyle w:val="39"/>
          <w:rFonts w:hint="eastAsia" w:ascii="宋体" w:hAnsi="宋体" w:eastAsia="宋体" w:cs="宋体"/>
          <w:b/>
          <w:color w:val="auto"/>
          <w:w w:val="80"/>
          <w:kern w:val="44"/>
          <w:sz w:val="36"/>
          <w:szCs w:val="36"/>
          <w:highlight w:val="none"/>
        </w:rPr>
        <w:t>第五章  合同授予</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一、</w:t>
      </w:r>
      <w:r>
        <w:rPr>
          <w:rStyle w:val="39"/>
          <w:rFonts w:hint="eastAsia" w:ascii="宋体" w:hAnsi="宋体" w:eastAsia="宋体" w:cs="宋体"/>
          <w:bCs/>
          <w:color w:val="auto"/>
          <w:sz w:val="24"/>
          <w:szCs w:val="24"/>
          <w:highlight w:val="none"/>
        </w:rPr>
        <w:t>自中标通知书发出之日起</w:t>
      </w:r>
      <w:r>
        <w:rPr>
          <w:rStyle w:val="39"/>
          <w:rFonts w:hint="eastAsia" w:ascii="宋体" w:hAnsi="宋体" w:eastAsia="宋体" w:cs="宋体"/>
          <w:bCs/>
          <w:color w:val="auto"/>
          <w:sz w:val="24"/>
          <w:szCs w:val="24"/>
          <w:highlight w:val="none"/>
          <w:lang w:val="en-US" w:eastAsia="zh-CN"/>
        </w:rPr>
        <w:t>30</w:t>
      </w:r>
      <w:r>
        <w:rPr>
          <w:rStyle w:val="39"/>
          <w:rFonts w:hint="eastAsia" w:ascii="宋体" w:hAnsi="宋体" w:eastAsia="宋体" w:cs="宋体"/>
          <w:bCs/>
          <w:color w:val="auto"/>
          <w:sz w:val="24"/>
          <w:szCs w:val="24"/>
          <w:highlight w:val="none"/>
        </w:rPr>
        <w:t>日内，中标单位凭“中标通知书”与采购人签订合同。合同一式四份，采购人、供应商各贰份</w:t>
      </w:r>
      <w:r>
        <w:rPr>
          <w:rStyle w:val="39"/>
          <w:rFonts w:hint="eastAsia" w:ascii="宋体" w:hAnsi="宋体" w:eastAsia="宋体" w:cs="宋体"/>
          <w:color w:val="auto"/>
          <w:sz w:val="24"/>
          <w:szCs w:val="21"/>
          <w:highlight w:val="none"/>
        </w:rPr>
        <w:t>。所签合同不得对采购文件作实质性修改。采购人不得向中标单位提出不合理的要求作为签订合同的条件，不得与中标单位私下订立背离采购文件实质性内容的协议。</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二、采购人按合同约定积极配合中标单位履约，中标单位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三、采购人故意推迟项目验收时间的，与中标单位串通或要求中标单位通过减少货物数量或降低服务标准的，在履行合同中采取更改配置、调换物品等手段的，要求中标单位出具虚假发票或任意更改销售发票的，谋取不正当利益的，承担相应的法律责任。</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四、中标单位出现违约情形，应当及时纠正或补偿；造成损失的，按合同约定追究违约责任；发现有假冒、伪劣、走私产品、商业贿赂等违法情形的，应由采购人移交工商、质监、公安等行政执法部门依法查处。</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五、按采购合同约定支付的货款。</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六、不响应付款方式的，视同响应文件无效，按</w:t>
      </w:r>
      <w:r>
        <w:rPr>
          <w:rStyle w:val="39"/>
          <w:rFonts w:hint="eastAsia" w:ascii="宋体" w:hAnsi="宋体" w:eastAsia="宋体" w:cs="宋体"/>
          <w:color w:val="auto"/>
          <w:sz w:val="24"/>
          <w:szCs w:val="21"/>
          <w:highlight w:val="none"/>
          <w:lang w:eastAsia="zh-CN"/>
        </w:rPr>
        <w:t>无效投标</w:t>
      </w:r>
      <w:r>
        <w:rPr>
          <w:rStyle w:val="39"/>
          <w:rFonts w:hint="eastAsia" w:ascii="宋体" w:hAnsi="宋体" w:eastAsia="宋体" w:cs="宋体"/>
          <w:color w:val="auto"/>
          <w:sz w:val="24"/>
          <w:szCs w:val="21"/>
          <w:highlight w:val="none"/>
        </w:rPr>
        <w:t>文件处理。</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七、付款方式详见招标文件第三章，项目款的支付不计息。</w:t>
      </w:r>
    </w:p>
    <w:p>
      <w:pPr>
        <w:snapToGrid w:val="0"/>
        <w:spacing w:line="500" w:lineRule="exact"/>
        <w:ind w:firstLine="480" w:firstLineChars="200"/>
        <w:rPr>
          <w:rStyle w:val="39"/>
          <w:rFonts w:hint="eastAsia" w:ascii="宋体" w:hAnsi="宋体" w:eastAsia="宋体" w:cs="宋体"/>
          <w:color w:val="auto"/>
          <w:sz w:val="24"/>
          <w:szCs w:val="21"/>
          <w:highlight w:val="none"/>
        </w:rPr>
      </w:pPr>
    </w:p>
    <w:p>
      <w:pPr>
        <w:snapToGrid w:val="0"/>
        <w:spacing w:line="500" w:lineRule="exact"/>
        <w:ind w:firstLine="420" w:firstLineChars="200"/>
        <w:rPr>
          <w:rStyle w:val="39"/>
          <w:rFonts w:hint="eastAsia" w:ascii="宋体" w:hAnsi="宋体" w:eastAsia="宋体" w:cs="宋体"/>
          <w:color w:val="auto"/>
          <w:sz w:val="21"/>
          <w:szCs w:val="21"/>
          <w:highlight w:val="none"/>
        </w:rPr>
      </w:pPr>
    </w:p>
    <w:p>
      <w:pPr>
        <w:snapToGrid w:val="0"/>
        <w:jc w:val="left"/>
        <w:rPr>
          <w:rStyle w:val="39"/>
          <w:rFonts w:hint="eastAsia" w:ascii="宋体" w:hAnsi="宋体" w:eastAsia="宋体" w:cs="宋体"/>
          <w:b/>
          <w:color w:val="auto"/>
          <w:w w:val="80"/>
          <w:kern w:val="44"/>
          <w:sz w:val="44"/>
          <w:szCs w:val="44"/>
          <w:highlight w:val="none"/>
        </w:rPr>
      </w:pPr>
    </w:p>
    <w:p>
      <w:pPr>
        <w:pStyle w:val="75"/>
        <w:snapToGrid w:val="0"/>
        <w:rPr>
          <w:rStyle w:val="39"/>
          <w:rFonts w:hint="eastAsia" w:ascii="宋体" w:hAnsi="宋体" w:eastAsia="宋体" w:cs="宋体"/>
          <w:color w:val="auto"/>
          <w:highlight w:val="none"/>
        </w:rPr>
      </w:pPr>
    </w:p>
    <w:p>
      <w:pPr>
        <w:snapToGrid w:val="0"/>
        <w:rPr>
          <w:rStyle w:val="39"/>
          <w:rFonts w:hint="eastAsia" w:ascii="宋体" w:hAnsi="宋体" w:eastAsia="宋体" w:cs="宋体"/>
          <w:color w:val="auto"/>
          <w:highlight w:val="none"/>
        </w:rPr>
      </w:pPr>
    </w:p>
    <w:p>
      <w:pPr>
        <w:pStyle w:val="75"/>
        <w:snapToGrid w:val="0"/>
        <w:rPr>
          <w:rStyle w:val="39"/>
          <w:rFonts w:hint="eastAsia" w:ascii="宋体" w:hAnsi="宋体" w:eastAsia="宋体" w:cs="宋体"/>
          <w:color w:val="auto"/>
          <w:highlight w:val="none"/>
        </w:rPr>
      </w:pPr>
    </w:p>
    <w:p>
      <w:pPr>
        <w:snapToGrid w:val="0"/>
        <w:spacing w:line="500" w:lineRule="exact"/>
        <w:ind w:firstLine="579" w:firstLineChars="200"/>
        <w:jc w:val="center"/>
        <w:rPr>
          <w:rStyle w:val="39"/>
          <w:rFonts w:hint="eastAsia" w:ascii="宋体" w:hAnsi="宋体" w:eastAsia="宋体" w:cs="宋体"/>
          <w:b/>
          <w:color w:val="auto"/>
          <w:w w:val="80"/>
          <w:kern w:val="44"/>
          <w:sz w:val="36"/>
          <w:szCs w:val="36"/>
          <w:highlight w:val="none"/>
        </w:rPr>
      </w:pPr>
    </w:p>
    <w:p>
      <w:pPr>
        <w:rPr>
          <w:rStyle w:val="39"/>
          <w:rFonts w:hint="eastAsia" w:ascii="宋体" w:hAnsi="宋体" w:eastAsia="宋体" w:cs="宋体"/>
          <w:b/>
          <w:color w:val="auto"/>
          <w:w w:val="80"/>
          <w:kern w:val="44"/>
          <w:sz w:val="36"/>
          <w:szCs w:val="36"/>
          <w:highlight w:val="none"/>
        </w:rPr>
      </w:pPr>
      <w:r>
        <w:rPr>
          <w:rStyle w:val="39"/>
          <w:rFonts w:hint="eastAsia" w:ascii="宋体" w:hAnsi="宋体" w:eastAsia="宋体" w:cs="宋体"/>
          <w:b/>
          <w:color w:val="auto"/>
          <w:w w:val="80"/>
          <w:kern w:val="44"/>
          <w:sz w:val="36"/>
          <w:szCs w:val="36"/>
          <w:highlight w:val="none"/>
        </w:rPr>
        <w:br w:type="page"/>
      </w:r>
    </w:p>
    <w:p>
      <w:pPr>
        <w:snapToGrid w:val="0"/>
        <w:spacing w:line="500" w:lineRule="exact"/>
        <w:ind w:firstLine="579" w:firstLineChars="200"/>
        <w:jc w:val="center"/>
        <w:rPr>
          <w:rStyle w:val="39"/>
          <w:rFonts w:hint="eastAsia" w:ascii="宋体" w:hAnsi="宋体" w:eastAsia="宋体" w:cs="宋体"/>
          <w:b/>
          <w:color w:val="auto"/>
          <w:w w:val="80"/>
          <w:kern w:val="44"/>
          <w:sz w:val="36"/>
          <w:szCs w:val="36"/>
          <w:highlight w:val="none"/>
        </w:rPr>
      </w:pPr>
      <w:r>
        <w:rPr>
          <w:rStyle w:val="39"/>
          <w:rFonts w:hint="eastAsia" w:ascii="宋体" w:hAnsi="宋体" w:eastAsia="宋体" w:cs="宋体"/>
          <w:b/>
          <w:color w:val="auto"/>
          <w:w w:val="80"/>
          <w:kern w:val="44"/>
          <w:sz w:val="36"/>
          <w:szCs w:val="36"/>
          <w:highlight w:val="none"/>
        </w:rPr>
        <w:t>第六章  质疑与投诉</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一、质疑的提出</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1.</w:t>
      </w:r>
      <w:r>
        <w:rPr>
          <w:rStyle w:val="39"/>
          <w:rFonts w:hint="eastAsia" w:ascii="宋体" w:hAnsi="宋体" w:eastAsia="宋体" w:cs="宋体"/>
          <w:color w:val="auto"/>
          <w:sz w:val="24"/>
          <w:szCs w:val="21"/>
          <w:highlight w:val="none"/>
        </w:rPr>
        <w:t>质疑人必须是直接参加本次投标活动的当事人。</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2.</w:t>
      </w:r>
      <w:r>
        <w:rPr>
          <w:rStyle w:val="39"/>
          <w:rFonts w:hint="eastAsia" w:ascii="宋体" w:hAnsi="宋体" w:eastAsia="宋体" w:cs="宋体"/>
          <w:color w:val="auto"/>
          <w:sz w:val="24"/>
          <w:szCs w:val="21"/>
          <w:highlight w:val="none"/>
          <w:lang w:val="en-US" w:eastAsia="zh-CN"/>
        </w:rPr>
        <w:t>获取</w:t>
      </w:r>
      <w:r>
        <w:rPr>
          <w:rStyle w:val="39"/>
          <w:rFonts w:hint="eastAsia" w:ascii="宋体" w:hAnsi="宋体" w:eastAsia="宋体" w:cs="宋体"/>
          <w:color w:val="auto"/>
          <w:sz w:val="24"/>
          <w:szCs w:val="21"/>
          <w:highlight w:val="none"/>
        </w:rPr>
        <w:t>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3.</w:t>
      </w:r>
      <w:r>
        <w:rPr>
          <w:rStyle w:val="39"/>
          <w:rFonts w:hint="eastAsia" w:ascii="宋体" w:hAnsi="宋体" w:eastAsia="宋体" w:cs="宋体"/>
          <w:color w:val="auto"/>
          <w:sz w:val="24"/>
          <w:szCs w:val="21"/>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4.</w:t>
      </w:r>
      <w:r>
        <w:rPr>
          <w:rStyle w:val="39"/>
          <w:rFonts w:hint="eastAsia" w:ascii="宋体" w:hAnsi="宋体" w:eastAsia="宋体" w:cs="宋体"/>
          <w:color w:val="auto"/>
          <w:sz w:val="24"/>
          <w:szCs w:val="21"/>
          <w:highlight w:val="none"/>
        </w:rPr>
        <w:t>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对不能提供相关佐证材料的、涉及商业秘密的、非书面形式的、非送达的、匿名的《质疑函》将不予受理。</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相关佐证材料要具备客观性、关联性、合法性，无法查实的（如宣传册、媒体报道、猜测、推理等）不能作为佐证材料。</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采购人或代理机构不负责搜集相关佐证材料等工作。</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二、《质疑函》的受理和回复</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1.</w:t>
      </w:r>
      <w:r>
        <w:rPr>
          <w:rStyle w:val="39"/>
          <w:rFonts w:hint="eastAsia" w:ascii="宋体" w:hAnsi="宋体" w:eastAsia="宋体" w:cs="宋体"/>
          <w:color w:val="auto"/>
          <w:sz w:val="24"/>
          <w:szCs w:val="21"/>
          <w:highlight w:val="none"/>
        </w:rPr>
        <w:t>《质疑函》须由质疑人的法定代表人（或负责人）或参加本次投标授权人送达采购人和代理机构。</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2.</w:t>
      </w:r>
      <w:r>
        <w:rPr>
          <w:rStyle w:val="39"/>
          <w:rFonts w:hint="eastAsia" w:ascii="宋体" w:hAnsi="宋体" w:eastAsia="宋体" w:cs="宋体"/>
          <w:color w:val="auto"/>
          <w:sz w:val="24"/>
          <w:szCs w:val="21"/>
          <w:highlight w:val="none"/>
        </w:rPr>
        <w:t>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3.</w:t>
      </w:r>
      <w:r>
        <w:rPr>
          <w:rStyle w:val="39"/>
          <w:rFonts w:hint="eastAsia" w:ascii="宋体" w:hAnsi="宋体" w:eastAsia="宋体" w:cs="宋体"/>
          <w:color w:val="auto"/>
          <w:sz w:val="24"/>
          <w:szCs w:val="21"/>
          <w:highlight w:val="none"/>
        </w:rPr>
        <w:t>对不符合提出质疑要求的，出具《质疑退回通知书》并提出相关补充材料要求，质疑人未在规定的时间内提供补充佐证材料的，视同放弃质疑。</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4.</w:t>
      </w:r>
      <w:r>
        <w:rPr>
          <w:rStyle w:val="39"/>
          <w:rFonts w:hint="eastAsia" w:ascii="宋体" w:hAnsi="宋体" w:eastAsia="宋体" w:cs="宋体"/>
          <w:color w:val="auto"/>
          <w:sz w:val="24"/>
          <w:szCs w:val="21"/>
          <w:highlight w:val="none"/>
        </w:rPr>
        <w:t>采购单位、代理机构负责将质疑人提出的质疑相关材料提供给相关专家或评标小组审核，并将审核意见回复质疑人。</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5.</w:t>
      </w:r>
      <w:r>
        <w:rPr>
          <w:rStyle w:val="39"/>
          <w:rFonts w:hint="eastAsia" w:ascii="宋体" w:hAnsi="宋体" w:eastAsia="宋体" w:cs="宋体"/>
          <w:color w:val="auto"/>
          <w:sz w:val="24"/>
          <w:szCs w:val="21"/>
          <w:highlight w:val="none"/>
        </w:rPr>
        <w:t>因质疑情况复杂，组织论证或审查时间较长的，采购单位、代理机构以书面形式通知质疑人，可适当延长质疑回复处理时间。</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三、质疑处理</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1.</w:t>
      </w:r>
      <w:r>
        <w:rPr>
          <w:rStyle w:val="39"/>
          <w:rFonts w:hint="eastAsia" w:ascii="宋体" w:hAnsi="宋体" w:eastAsia="宋体" w:cs="宋体"/>
          <w:color w:val="auto"/>
          <w:sz w:val="24"/>
          <w:szCs w:val="21"/>
          <w:highlight w:val="none"/>
        </w:rPr>
        <w:t>质疑成立的处理。采购单位或代理机构终止采购，并建议有关部门给相关当事人予以处理。</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2.</w:t>
      </w:r>
      <w:r>
        <w:rPr>
          <w:rStyle w:val="39"/>
          <w:rFonts w:hint="eastAsia" w:ascii="宋体" w:hAnsi="宋体" w:eastAsia="宋体" w:cs="宋体"/>
          <w:color w:val="auto"/>
          <w:sz w:val="24"/>
          <w:szCs w:val="21"/>
          <w:highlight w:val="none"/>
        </w:rPr>
        <w:t>质疑不成立的处理。</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（1）质疑人书面《申请撤回质疑函》的，不作违约处理。</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（2）质疑人在规定的时间内不配合进行质疑调查处理的，按自动撤回《质疑函》处理。</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（3）质疑人不按《质疑函》格式就提出质疑的，作违约处理。同时，视情列入不良供应商名单。</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（4）质疑人虽提供了相关佐证材料，但不能证明其质疑成立的，采购单位或代理机构请质疑人补充相关佐证材料，仍不能证明其质疑成立的，作违约处理。并将其列入不良供应商名单。</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（5）质疑人不能提供相关佐证材料的，采购单位、代理机构已指出，质疑人仍然坚持提出质疑的，作违约处理。同时，列入不良供应商名单。</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（6）对明显有违事实的、经相关专家或评标小组认定无依据的、经其他供应商举证无依据的质疑，作违约处理，列入不良供应商名单；同时，对其中每一项不成立的质疑给予质疑人1年内禁入本区域内的</w:t>
      </w:r>
      <w:r>
        <w:rPr>
          <w:rStyle w:val="39"/>
          <w:rFonts w:hint="eastAsia" w:ascii="宋体" w:hAnsi="宋体" w:eastAsia="宋体" w:cs="宋体"/>
          <w:color w:val="auto"/>
          <w:sz w:val="24"/>
          <w:szCs w:val="21"/>
          <w:highlight w:val="none"/>
          <w:lang w:eastAsia="zh-CN"/>
        </w:rPr>
        <w:t>采购活动</w:t>
      </w:r>
      <w:r>
        <w:rPr>
          <w:rStyle w:val="39"/>
          <w:rFonts w:hint="eastAsia" w:ascii="宋体" w:hAnsi="宋体" w:eastAsia="宋体" w:cs="宋体"/>
          <w:color w:val="auto"/>
          <w:sz w:val="24"/>
          <w:szCs w:val="21"/>
          <w:highlight w:val="none"/>
        </w:rPr>
        <w:t>的违约处理，依次类推；视情在相关媒体予以披露。</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（7）质疑人承担使用虚假材料或恶意方式质疑的法律责任。</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四、无佐证材料的举报作违约处理。供应商不得进行不提供相关佐证材料（含无法查实的如宣传册、媒体报道、猜测、推理等）向有关部门的举报，否则作违约处理。同时对其在1至3年内禁入由采购人组织的</w:t>
      </w:r>
      <w:r>
        <w:rPr>
          <w:rStyle w:val="39"/>
          <w:rFonts w:hint="eastAsia" w:ascii="宋体" w:hAnsi="宋体" w:eastAsia="宋体" w:cs="宋体"/>
          <w:color w:val="auto"/>
          <w:sz w:val="24"/>
          <w:szCs w:val="21"/>
          <w:highlight w:val="none"/>
          <w:lang w:eastAsia="zh-CN"/>
        </w:rPr>
        <w:t>采购活动</w:t>
      </w:r>
      <w:r>
        <w:rPr>
          <w:rStyle w:val="39"/>
          <w:rFonts w:hint="eastAsia" w:ascii="宋体" w:hAnsi="宋体" w:eastAsia="宋体" w:cs="宋体"/>
          <w:color w:val="auto"/>
          <w:sz w:val="24"/>
          <w:szCs w:val="21"/>
          <w:highlight w:val="none"/>
        </w:rPr>
        <w:t>的违约处理。</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五、投诉不成立的作违约处理。供应商进行质疑后，采购人回复质疑不成立，供应商仍进行投诉的，并最终投诉不成立的，作违约处理。采购人有权对其在1至3年内禁入由采购人组织的</w:t>
      </w:r>
      <w:r>
        <w:rPr>
          <w:rStyle w:val="39"/>
          <w:rFonts w:hint="eastAsia" w:ascii="宋体" w:hAnsi="宋体" w:eastAsia="宋体" w:cs="宋体"/>
          <w:color w:val="auto"/>
          <w:sz w:val="24"/>
          <w:szCs w:val="21"/>
          <w:highlight w:val="none"/>
          <w:lang w:eastAsia="zh-CN"/>
        </w:rPr>
        <w:t>采购活动</w:t>
      </w:r>
      <w:r>
        <w:rPr>
          <w:rStyle w:val="39"/>
          <w:rFonts w:hint="eastAsia" w:ascii="宋体" w:hAnsi="宋体" w:eastAsia="宋体" w:cs="宋体"/>
          <w:color w:val="auto"/>
          <w:sz w:val="24"/>
          <w:szCs w:val="21"/>
          <w:highlight w:val="none"/>
        </w:rPr>
        <w:t>的违约处理。</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六、《质疑函》《质疑回复函》，质疑、举报、投诉不成立的等相关情况，视情在相关媒体予以披露。并建议相关机构对该供应商同步实施1至3年内禁入。</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七、质疑供应商对采购人或代理机构的答复不满意或者采购人或代理机构未在规定的时间内作出答复的，可以在答复期满后15个工作日内向监督管理部门投诉。</w:t>
      </w:r>
    </w:p>
    <w:p>
      <w:pPr>
        <w:snapToGrid w:val="0"/>
        <w:spacing w:line="500" w:lineRule="exact"/>
        <w:ind w:firstLine="386" w:firstLineChars="200"/>
        <w:jc w:val="center"/>
        <w:rPr>
          <w:rStyle w:val="39"/>
          <w:rFonts w:hint="eastAsia" w:ascii="宋体" w:hAnsi="宋体" w:eastAsia="宋体" w:cs="宋体"/>
          <w:b/>
          <w:color w:val="auto"/>
          <w:w w:val="80"/>
          <w:kern w:val="44"/>
          <w:sz w:val="24"/>
          <w:szCs w:val="21"/>
          <w:highlight w:val="none"/>
        </w:rPr>
      </w:pPr>
      <w:r>
        <w:rPr>
          <w:rStyle w:val="39"/>
          <w:rFonts w:hint="eastAsia" w:ascii="宋体" w:hAnsi="宋体" w:eastAsia="宋体" w:cs="宋体"/>
          <w:b/>
          <w:color w:val="auto"/>
          <w:w w:val="80"/>
          <w:kern w:val="44"/>
          <w:sz w:val="24"/>
          <w:szCs w:val="21"/>
          <w:highlight w:val="none"/>
        </w:rPr>
        <w:br w:type="textWrapping"/>
      </w:r>
    </w:p>
    <w:p>
      <w:pPr>
        <w:snapToGrid w:val="0"/>
        <w:spacing w:line="360" w:lineRule="auto"/>
        <w:ind w:firstLine="579" w:firstLineChars="200"/>
        <w:jc w:val="center"/>
        <w:rPr>
          <w:rStyle w:val="39"/>
          <w:rFonts w:hint="eastAsia" w:ascii="宋体" w:hAnsi="宋体" w:eastAsia="宋体" w:cs="宋体"/>
          <w:b/>
          <w:color w:val="auto"/>
          <w:w w:val="80"/>
          <w:kern w:val="44"/>
          <w:sz w:val="36"/>
          <w:szCs w:val="36"/>
          <w:highlight w:val="none"/>
        </w:rPr>
      </w:pPr>
      <w:r>
        <w:rPr>
          <w:rStyle w:val="39"/>
          <w:rFonts w:hint="eastAsia" w:ascii="宋体" w:hAnsi="宋体" w:eastAsia="宋体" w:cs="宋体"/>
          <w:b/>
          <w:color w:val="auto"/>
          <w:w w:val="80"/>
          <w:kern w:val="44"/>
          <w:sz w:val="36"/>
          <w:szCs w:val="36"/>
          <w:highlight w:val="none"/>
        </w:rPr>
        <w:br w:type="page"/>
      </w:r>
      <w:r>
        <w:rPr>
          <w:rStyle w:val="39"/>
          <w:rFonts w:hint="eastAsia" w:ascii="宋体" w:hAnsi="宋体" w:eastAsia="宋体" w:cs="宋体"/>
          <w:b/>
          <w:color w:val="auto"/>
          <w:w w:val="80"/>
          <w:kern w:val="44"/>
          <w:sz w:val="36"/>
          <w:szCs w:val="36"/>
          <w:highlight w:val="none"/>
        </w:rPr>
        <w:t>第七章  投标响应文件组成及格式</w:t>
      </w:r>
    </w:p>
    <w:p>
      <w:pPr>
        <w:snapToGrid w:val="0"/>
        <w:spacing w:line="360" w:lineRule="auto"/>
        <w:ind w:firstLine="482" w:firstLineChars="200"/>
        <w:jc w:val="left"/>
        <w:rPr>
          <w:rStyle w:val="39"/>
          <w:rFonts w:hint="eastAsia" w:ascii="宋体" w:hAnsi="宋体" w:eastAsia="宋体" w:cs="宋体"/>
          <w:b/>
          <w:color w:val="auto"/>
          <w:sz w:val="24"/>
          <w:szCs w:val="21"/>
          <w:highlight w:val="none"/>
        </w:rPr>
      </w:pPr>
      <w:r>
        <w:rPr>
          <w:rStyle w:val="39"/>
          <w:rFonts w:hint="eastAsia" w:ascii="宋体" w:hAnsi="宋体" w:eastAsia="宋体" w:cs="宋体"/>
          <w:b/>
          <w:bCs/>
          <w:color w:val="auto"/>
          <w:sz w:val="24"/>
          <w:szCs w:val="24"/>
          <w:highlight w:val="none"/>
        </w:rPr>
        <w:t>供应商应依照规定提交各类声明函、承诺函，不再同时提供原件备查或提供有关部门出具的相关证明文件。但中标单位应做好提交声明函、承诺函相应原件的核查准备；核查后发现虚假或违背承诺的，依照相关法律法规规定处理。</w:t>
      </w:r>
    </w:p>
    <w:p>
      <w:pPr>
        <w:snapToGrid w:val="0"/>
        <w:spacing w:line="360" w:lineRule="auto"/>
        <w:ind w:firstLine="482" w:firstLineChars="200"/>
        <w:jc w:val="left"/>
        <w:rPr>
          <w:rStyle w:val="39"/>
          <w:rFonts w:hint="eastAsia" w:ascii="宋体" w:hAnsi="宋体" w:eastAsia="宋体" w:cs="宋体"/>
          <w:b/>
          <w:color w:val="auto"/>
          <w:sz w:val="24"/>
          <w:szCs w:val="21"/>
          <w:highlight w:val="none"/>
        </w:rPr>
      </w:pPr>
      <w:r>
        <w:rPr>
          <w:rStyle w:val="39"/>
          <w:rFonts w:hint="eastAsia" w:ascii="宋体" w:hAnsi="宋体" w:eastAsia="宋体" w:cs="宋体"/>
          <w:b/>
          <w:color w:val="auto"/>
          <w:sz w:val="24"/>
          <w:szCs w:val="21"/>
          <w:highlight w:val="none"/>
        </w:rPr>
        <w:t>一、投标响应文件组成</w:t>
      </w:r>
    </w:p>
    <w:p>
      <w:pPr>
        <w:pStyle w:val="92"/>
        <w:snapToGrid w:val="0"/>
        <w:spacing w:line="360" w:lineRule="auto"/>
        <w:ind w:left="0" w:firstLine="520"/>
        <w:rPr>
          <w:rStyle w:val="39"/>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rPr>
        <w:t>投标响应文件由资格审查文件、</w:t>
      </w:r>
      <w:r>
        <w:rPr>
          <w:rStyle w:val="39"/>
          <w:rFonts w:hint="eastAsia" w:ascii="宋体" w:hAnsi="宋体" w:eastAsia="宋体" w:cs="宋体"/>
          <w:color w:val="auto"/>
          <w:sz w:val="24"/>
          <w:szCs w:val="24"/>
          <w:highlight w:val="none"/>
          <w:lang w:val="en-US" w:eastAsia="zh-CN"/>
        </w:rPr>
        <w:t>商务</w:t>
      </w:r>
      <w:r>
        <w:rPr>
          <w:rStyle w:val="39"/>
          <w:rFonts w:hint="eastAsia" w:ascii="宋体" w:hAnsi="宋体" w:eastAsia="宋体" w:cs="宋体"/>
          <w:color w:val="auto"/>
          <w:sz w:val="24"/>
          <w:szCs w:val="24"/>
          <w:highlight w:val="none"/>
        </w:rPr>
        <w:t>技术</w:t>
      </w:r>
      <w:r>
        <w:rPr>
          <w:rStyle w:val="39"/>
          <w:rFonts w:hint="eastAsia" w:ascii="宋体" w:hAnsi="宋体" w:eastAsia="宋体" w:cs="宋体"/>
          <w:color w:val="auto"/>
          <w:sz w:val="24"/>
          <w:szCs w:val="24"/>
          <w:highlight w:val="none"/>
          <w:lang w:val="en-US" w:eastAsia="zh-CN"/>
        </w:rPr>
        <w:t>文件</w:t>
      </w:r>
      <w:r>
        <w:rPr>
          <w:rStyle w:val="39"/>
          <w:rFonts w:hint="eastAsia" w:ascii="宋体" w:hAnsi="宋体" w:eastAsia="宋体" w:cs="宋体"/>
          <w:color w:val="auto"/>
          <w:sz w:val="24"/>
          <w:szCs w:val="24"/>
          <w:highlight w:val="none"/>
        </w:rPr>
        <w:t>、</w:t>
      </w:r>
      <w:r>
        <w:rPr>
          <w:rStyle w:val="39"/>
          <w:rFonts w:hint="eastAsia" w:ascii="宋体" w:hAnsi="宋体" w:eastAsia="宋体" w:cs="宋体"/>
          <w:color w:val="auto"/>
          <w:sz w:val="24"/>
          <w:szCs w:val="24"/>
          <w:highlight w:val="none"/>
          <w:lang w:val="en-US" w:eastAsia="zh-CN"/>
        </w:rPr>
        <w:t>报价文件</w:t>
      </w:r>
      <w:r>
        <w:rPr>
          <w:rStyle w:val="39"/>
          <w:rFonts w:hint="eastAsia" w:ascii="宋体" w:hAnsi="宋体" w:eastAsia="宋体" w:cs="宋体"/>
          <w:color w:val="auto"/>
          <w:szCs w:val="24"/>
          <w:highlight w:val="none"/>
        </w:rPr>
        <w:t>、</w:t>
      </w:r>
      <w:r>
        <w:rPr>
          <w:rStyle w:val="39"/>
          <w:rFonts w:hint="eastAsia" w:ascii="宋体" w:hAnsi="宋体" w:eastAsia="宋体" w:cs="宋体"/>
          <w:color w:val="auto"/>
          <w:szCs w:val="24"/>
          <w:highlight w:val="none"/>
          <w:lang w:val="en-US" w:eastAsia="zh-CN"/>
        </w:rPr>
        <w:t>投标响应</w:t>
      </w:r>
      <w:r>
        <w:rPr>
          <w:rStyle w:val="39"/>
          <w:rFonts w:hint="eastAsia" w:ascii="宋体" w:hAnsi="宋体" w:eastAsia="宋体" w:cs="宋体"/>
          <w:color w:val="auto"/>
          <w:szCs w:val="24"/>
          <w:highlight w:val="none"/>
        </w:rPr>
        <w:t>文件电子版四部分组成</w:t>
      </w:r>
      <w:r>
        <w:rPr>
          <w:rStyle w:val="39"/>
          <w:rFonts w:hint="eastAsia" w:ascii="宋体" w:hAnsi="宋体" w:eastAsia="宋体" w:cs="宋体"/>
          <w:color w:val="auto"/>
          <w:sz w:val="24"/>
          <w:szCs w:val="24"/>
          <w:highlight w:val="none"/>
        </w:rPr>
        <w:t>。本次招标应采用资格后审方式，投标供应商须将资格审查文件作为响应文件组成部分，按招标文件要求装订密封后一起递交。</w:t>
      </w:r>
    </w:p>
    <w:p>
      <w:pPr>
        <w:pStyle w:val="92"/>
        <w:snapToGrid w:val="0"/>
        <w:spacing w:line="360" w:lineRule="auto"/>
        <w:ind w:left="0" w:firstLine="522"/>
        <w:rPr>
          <w:rStyle w:val="39"/>
          <w:rFonts w:hint="eastAsia" w:ascii="宋体" w:hAnsi="宋体" w:eastAsia="宋体" w:cs="宋体"/>
          <w:b/>
          <w:color w:val="auto"/>
          <w:sz w:val="26"/>
          <w:szCs w:val="21"/>
          <w:highlight w:val="none"/>
        </w:rPr>
      </w:pPr>
      <w:r>
        <w:rPr>
          <w:rStyle w:val="39"/>
          <w:rFonts w:hint="eastAsia" w:ascii="宋体" w:hAnsi="宋体" w:eastAsia="宋体" w:cs="宋体"/>
          <w:b/>
          <w:color w:val="auto"/>
          <w:sz w:val="26"/>
          <w:szCs w:val="21"/>
          <w:highlight w:val="none"/>
        </w:rPr>
        <w:t>（一）资格审查文件（单独装订密封）</w:t>
      </w:r>
    </w:p>
    <w:p>
      <w:pPr>
        <w:snapToGrid w:val="0"/>
        <w:spacing w:line="360" w:lineRule="auto"/>
        <w:ind w:firstLine="480" w:firstLineChars="200"/>
        <w:rPr>
          <w:rStyle w:val="39"/>
          <w:rFonts w:hint="eastAsia" w:ascii="宋体" w:hAnsi="宋体" w:eastAsia="宋体" w:cs="宋体"/>
          <w:bCs/>
          <w:color w:val="auto"/>
          <w:sz w:val="24"/>
          <w:szCs w:val="24"/>
          <w:highlight w:val="none"/>
          <w:lang w:eastAsia="zh-CN"/>
        </w:rPr>
      </w:pPr>
      <w:r>
        <w:rPr>
          <w:rStyle w:val="39"/>
          <w:rFonts w:hint="eastAsia" w:ascii="宋体" w:hAnsi="宋体" w:eastAsia="宋体" w:cs="宋体"/>
          <w:bCs/>
          <w:color w:val="auto"/>
          <w:sz w:val="24"/>
          <w:szCs w:val="24"/>
          <w:highlight w:val="none"/>
          <w:lang w:val="en-US" w:eastAsia="zh-CN"/>
        </w:rPr>
        <w:t>1.</w:t>
      </w:r>
      <w:r>
        <w:rPr>
          <w:rStyle w:val="39"/>
          <w:rFonts w:hint="eastAsia" w:ascii="宋体" w:hAnsi="宋体" w:eastAsia="宋体" w:cs="宋体"/>
          <w:bCs/>
          <w:color w:val="auto"/>
          <w:sz w:val="24"/>
          <w:szCs w:val="24"/>
          <w:highlight w:val="none"/>
          <w:lang w:eastAsia="zh-CN"/>
        </w:rPr>
        <w:t>投标供应商提供有效的营业执照等具有独立承担民事责任能力的证明材料复印件。</w:t>
      </w:r>
    </w:p>
    <w:p>
      <w:pPr>
        <w:snapToGrid w:val="0"/>
        <w:spacing w:line="360" w:lineRule="auto"/>
        <w:ind w:firstLine="480" w:firstLineChars="200"/>
        <w:rPr>
          <w:rStyle w:val="39"/>
          <w:rFonts w:hint="eastAsia" w:ascii="宋体" w:hAnsi="宋体" w:eastAsia="宋体" w:cs="宋体"/>
          <w:color w:val="auto"/>
          <w:kern w:val="0"/>
          <w:sz w:val="24"/>
          <w:szCs w:val="24"/>
          <w:highlight w:val="none"/>
        </w:rPr>
      </w:pPr>
      <w:r>
        <w:rPr>
          <w:rStyle w:val="39"/>
          <w:rFonts w:hint="eastAsia" w:ascii="宋体" w:hAnsi="宋体" w:eastAsia="宋体" w:cs="宋体"/>
          <w:color w:val="auto"/>
          <w:sz w:val="24"/>
          <w:szCs w:val="24"/>
          <w:highlight w:val="none"/>
          <w:lang w:val="en-US" w:eastAsia="zh-CN"/>
        </w:rPr>
        <w:t>2.</w:t>
      </w:r>
      <w:r>
        <w:rPr>
          <w:rStyle w:val="39"/>
          <w:rFonts w:hint="eastAsia" w:ascii="宋体" w:hAnsi="宋体" w:eastAsia="宋体" w:cs="宋体"/>
          <w:color w:val="auto"/>
          <w:sz w:val="24"/>
          <w:szCs w:val="24"/>
          <w:highlight w:val="none"/>
        </w:rPr>
        <w:t>投标供应商法定代表人参加投标的，必须提供</w:t>
      </w:r>
      <w:r>
        <w:rPr>
          <w:rStyle w:val="39"/>
          <w:rFonts w:hint="eastAsia" w:ascii="宋体" w:hAnsi="宋体" w:eastAsia="宋体" w:cs="宋体"/>
          <w:color w:val="auto"/>
          <w:kern w:val="0"/>
          <w:sz w:val="24"/>
          <w:szCs w:val="24"/>
          <w:highlight w:val="none"/>
        </w:rPr>
        <w:t>法定代表人身份证明及法定代表人本人身份证复印件；非法定代表人参加投标的，必须提供法定代表人签名或盖章的授权委托书及法定代表人和被授权人两个人的身份证复印件（格式参见第七章）。</w:t>
      </w:r>
    </w:p>
    <w:p>
      <w:pPr>
        <w:snapToGrid w:val="0"/>
        <w:spacing w:line="360" w:lineRule="auto"/>
        <w:ind w:firstLine="480" w:firstLineChars="200"/>
        <w:rPr>
          <w:rStyle w:val="39"/>
          <w:rFonts w:hint="eastAsia" w:ascii="宋体" w:hAnsi="宋体" w:eastAsia="宋体" w:cs="宋体"/>
          <w:bCs/>
          <w:color w:val="auto"/>
          <w:sz w:val="24"/>
          <w:szCs w:val="24"/>
          <w:highlight w:val="none"/>
        </w:rPr>
      </w:pPr>
      <w:r>
        <w:rPr>
          <w:rStyle w:val="39"/>
          <w:rFonts w:hint="eastAsia" w:ascii="宋体" w:hAnsi="宋体" w:eastAsia="宋体" w:cs="宋体"/>
          <w:bCs/>
          <w:color w:val="auto"/>
          <w:sz w:val="24"/>
          <w:szCs w:val="24"/>
          <w:highlight w:val="none"/>
          <w:lang w:val="en-US" w:eastAsia="zh-CN"/>
        </w:rPr>
        <w:t>3.</w:t>
      </w:r>
      <w:r>
        <w:rPr>
          <w:rStyle w:val="39"/>
          <w:rFonts w:hint="eastAsia" w:ascii="宋体" w:hAnsi="宋体" w:eastAsia="宋体" w:cs="宋体"/>
          <w:bCs/>
          <w:color w:val="auto"/>
          <w:sz w:val="24"/>
          <w:szCs w:val="24"/>
          <w:highlight w:val="none"/>
        </w:rPr>
        <w:t>投标供应商须提供参与本次项目</w:t>
      </w:r>
      <w:r>
        <w:rPr>
          <w:rStyle w:val="39"/>
          <w:rFonts w:hint="eastAsia" w:ascii="宋体" w:hAnsi="宋体" w:eastAsia="宋体" w:cs="宋体"/>
          <w:bCs/>
          <w:color w:val="auto"/>
          <w:sz w:val="24"/>
          <w:szCs w:val="24"/>
          <w:highlight w:val="none"/>
          <w:lang w:eastAsia="zh-CN"/>
        </w:rPr>
        <w:t>采购活动</w:t>
      </w:r>
      <w:r>
        <w:rPr>
          <w:rStyle w:val="39"/>
          <w:rFonts w:hint="eastAsia" w:ascii="宋体" w:hAnsi="宋体" w:eastAsia="宋体" w:cs="宋体"/>
          <w:bCs/>
          <w:color w:val="auto"/>
          <w:sz w:val="24"/>
          <w:szCs w:val="24"/>
          <w:highlight w:val="none"/>
        </w:rPr>
        <w:t>前三年内，在经营活动中没有重大违法记录的书面《无重大违法记录声明函》（格式参见第七章）。</w:t>
      </w:r>
    </w:p>
    <w:p>
      <w:pPr>
        <w:snapToGrid w:val="0"/>
        <w:spacing w:line="360" w:lineRule="auto"/>
        <w:ind w:firstLine="480" w:firstLineChars="200"/>
        <w:rPr>
          <w:rStyle w:val="39"/>
          <w:rFonts w:hint="eastAsia" w:ascii="宋体" w:hAnsi="宋体" w:eastAsia="宋体" w:cs="宋体"/>
          <w:bCs/>
          <w:color w:val="auto"/>
          <w:sz w:val="24"/>
          <w:szCs w:val="24"/>
          <w:highlight w:val="none"/>
        </w:rPr>
      </w:pPr>
      <w:r>
        <w:rPr>
          <w:rStyle w:val="39"/>
          <w:rFonts w:hint="eastAsia" w:ascii="宋体" w:hAnsi="宋体" w:eastAsia="宋体" w:cs="宋体"/>
          <w:bCs/>
          <w:color w:val="auto"/>
          <w:sz w:val="24"/>
          <w:szCs w:val="24"/>
          <w:highlight w:val="none"/>
          <w:lang w:val="en-US" w:eastAsia="zh-CN"/>
        </w:rPr>
        <w:t>4.</w:t>
      </w:r>
      <w:r>
        <w:rPr>
          <w:rStyle w:val="39"/>
          <w:rFonts w:hint="eastAsia" w:ascii="宋体" w:hAnsi="宋体" w:eastAsia="宋体" w:cs="宋体"/>
          <w:bCs/>
          <w:color w:val="auto"/>
          <w:sz w:val="24"/>
          <w:szCs w:val="24"/>
          <w:highlight w:val="none"/>
        </w:rPr>
        <w:t>关于资格文件的声明函（格式参见第七章）。</w:t>
      </w:r>
    </w:p>
    <w:p>
      <w:pPr>
        <w:snapToGrid w:val="0"/>
        <w:spacing w:line="360" w:lineRule="auto"/>
        <w:ind w:firstLine="482" w:firstLineChars="200"/>
        <w:jc w:val="left"/>
        <w:rPr>
          <w:rStyle w:val="39"/>
          <w:rFonts w:hint="eastAsia" w:ascii="宋体" w:hAnsi="宋体" w:eastAsia="宋体" w:cs="宋体"/>
          <w:b/>
          <w:color w:val="auto"/>
          <w:sz w:val="24"/>
          <w:szCs w:val="21"/>
          <w:highlight w:val="none"/>
        </w:rPr>
      </w:pPr>
      <w:r>
        <w:rPr>
          <w:rStyle w:val="39"/>
          <w:rFonts w:hint="eastAsia" w:ascii="宋体" w:hAnsi="宋体" w:eastAsia="宋体" w:cs="宋体"/>
          <w:b/>
          <w:color w:val="auto"/>
          <w:sz w:val="24"/>
          <w:szCs w:val="21"/>
          <w:highlight w:val="none"/>
        </w:rPr>
        <w:t>注：以上材料如为复印件均需加盖供应商公章</w:t>
      </w:r>
    </w:p>
    <w:p>
      <w:pPr>
        <w:numPr>
          <w:ilvl w:val="0"/>
          <w:numId w:val="6"/>
        </w:numPr>
        <w:snapToGrid w:val="0"/>
        <w:spacing w:line="360" w:lineRule="auto"/>
        <w:ind w:firstLine="482" w:firstLineChars="200"/>
        <w:rPr>
          <w:rStyle w:val="39"/>
          <w:rFonts w:hint="eastAsia" w:ascii="宋体" w:hAnsi="宋体" w:eastAsia="宋体" w:cs="宋体"/>
          <w:b/>
          <w:color w:val="auto"/>
          <w:sz w:val="24"/>
          <w:szCs w:val="21"/>
          <w:highlight w:val="none"/>
        </w:rPr>
      </w:pPr>
      <w:r>
        <w:rPr>
          <w:rStyle w:val="39"/>
          <w:rFonts w:hint="eastAsia" w:ascii="宋体" w:hAnsi="宋体" w:eastAsia="宋体" w:cs="宋体"/>
          <w:b/>
          <w:color w:val="auto"/>
          <w:sz w:val="24"/>
          <w:szCs w:val="21"/>
          <w:highlight w:val="none"/>
          <w:lang w:val="en-US" w:eastAsia="zh-CN"/>
        </w:rPr>
        <w:t>商务</w:t>
      </w:r>
      <w:r>
        <w:rPr>
          <w:rStyle w:val="39"/>
          <w:rFonts w:hint="eastAsia" w:ascii="宋体" w:hAnsi="宋体" w:eastAsia="宋体" w:cs="宋体"/>
          <w:b/>
          <w:color w:val="auto"/>
          <w:sz w:val="24"/>
          <w:szCs w:val="21"/>
          <w:highlight w:val="none"/>
        </w:rPr>
        <w:t>技术</w:t>
      </w:r>
      <w:r>
        <w:rPr>
          <w:rStyle w:val="39"/>
          <w:rFonts w:hint="eastAsia" w:ascii="宋体" w:hAnsi="宋体" w:eastAsia="宋体" w:cs="宋体"/>
          <w:b/>
          <w:color w:val="auto"/>
          <w:sz w:val="24"/>
          <w:szCs w:val="21"/>
          <w:highlight w:val="none"/>
          <w:lang w:val="en-US" w:eastAsia="zh-CN"/>
        </w:rPr>
        <w:t>文件</w:t>
      </w:r>
      <w:r>
        <w:rPr>
          <w:rStyle w:val="39"/>
          <w:rFonts w:hint="eastAsia" w:ascii="宋体" w:hAnsi="宋体" w:eastAsia="宋体" w:cs="宋体"/>
          <w:b/>
          <w:color w:val="auto"/>
          <w:sz w:val="24"/>
          <w:szCs w:val="21"/>
          <w:highlight w:val="none"/>
        </w:rPr>
        <w:t>（单独装订密封）</w:t>
      </w:r>
    </w:p>
    <w:p>
      <w:pPr>
        <w:snapToGrid w:val="0"/>
        <w:spacing w:line="360" w:lineRule="auto"/>
        <w:ind w:firstLine="482" w:firstLineChars="200"/>
        <w:rPr>
          <w:rStyle w:val="39"/>
          <w:rFonts w:hint="eastAsia" w:ascii="宋体" w:hAnsi="宋体" w:eastAsia="宋体" w:cs="宋体"/>
          <w:b/>
          <w:color w:val="auto"/>
          <w:sz w:val="24"/>
          <w:szCs w:val="21"/>
          <w:highlight w:val="none"/>
        </w:rPr>
      </w:pPr>
      <w:r>
        <w:rPr>
          <w:rStyle w:val="39"/>
          <w:rFonts w:hint="eastAsia" w:ascii="宋体" w:hAnsi="宋体" w:eastAsia="宋体" w:cs="宋体"/>
          <w:b/>
          <w:color w:val="auto"/>
          <w:sz w:val="24"/>
          <w:szCs w:val="21"/>
          <w:highlight w:val="none"/>
        </w:rPr>
        <w:t>【特别提醒】以下</w:t>
      </w:r>
      <w:r>
        <w:rPr>
          <w:rStyle w:val="39"/>
          <w:rFonts w:hint="eastAsia" w:ascii="宋体" w:hAnsi="宋体" w:eastAsia="宋体" w:cs="宋体"/>
          <w:b/>
          <w:color w:val="auto"/>
          <w:sz w:val="24"/>
          <w:szCs w:val="21"/>
          <w:highlight w:val="none"/>
          <w:lang w:val="en-US" w:eastAsia="zh-CN"/>
        </w:rPr>
        <w:t>商务</w:t>
      </w:r>
      <w:r>
        <w:rPr>
          <w:rStyle w:val="39"/>
          <w:rFonts w:hint="eastAsia" w:ascii="宋体" w:hAnsi="宋体" w:eastAsia="宋体" w:cs="宋体"/>
          <w:b/>
          <w:color w:val="auto"/>
          <w:sz w:val="24"/>
          <w:szCs w:val="21"/>
          <w:highlight w:val="none"/>
        </w:rPr>
        <w:t>技术文件的内容，不得有缺项或漏项。否则将被视为未实质性响应招标文件要求而作无效投标处理。</w:t>
      </w:r>
    </w:p>
    <w:p>
      <w:pPr>
        <w:snapToGrid w:val="0"/>
        <w:spacing w:line="360" w:lineRule="auto"/>
        <w:ind w:firstLine="360" w:firstLineChars="15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1.</w:t>
      </w:r>
      <w:r>
        <w:rPr>
          <w:rStyle w:val="39"/>
          <w:rFonts w:hint="eastAsia" w:ascii="宋体" w:hAnsi="宋体" w:eastAsia="宋体" w:cs="宋体"/>
          <w:color w:val="auto"/>
          <w:sz w:val="24"/>
          <w:szCs w:val="21"/>
          <w:highlight w:val="none"/>
        </w:rPr>
        <w:t>投标响应函（格式参见第七章）。</w:t>
      </w:r>
    </w:p>
    <w:p>
      <w:pPr>
        <w:snapToGrid w:val="0"/>
        <w:spacing w:line="360" w:lineRule="auto"/>
        <w:ind w:firstLine="360" w:firstLineChars="15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2.</w:t>
      </w:r>
      <w:r>
        <w:rPr>
          <w:rStyle w:val="39"/>
          <w:rFonts w:hint="eastAsia" w:ascii="宋体" w:hAnsi="宋体" w:eastAsia="宋体" w:cs="宋体"/>
          <w:color w:val="auto"/>
          <w:sz w:val="24"/>
          <w:szCs w:val="21"/>
          <w:highlight w:val="none"/>
          <w:lang w:val="en-US" w:eastAsia="zh-CN"/>
        </w:rPr>
        <w:t>商务</w:t>
      </w:r>
      <w:r>
        <w:rPr>
          <w:rStyle w:val="39"/>
          <w:rFonts w:hint="eastAsia" w:ascii="宋体" w:hAnsi="宋体" w:eastAsia="宋体" w:cs="宋体"/>
          <w:color w:val="auto"/>
          <w:sz w:val="24"/>
          <w:szCs w:val="21"/>
          <w:highlight w:val="none"/>
        </w:rPr>
        <w:t>技术条款响应一览表（格式参见第七章）。</w:t>
      </w:r>
    </w:p>
    <w:p>
      <w:pPr>
        <w:snapToGrid w:val="0"/>
        <w:spacing w:line="360" w:lineRule="auto"/>
        <w:ind w:firstLine="360" w:firstLineChars="15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3.</w:t>
      </w:r>
      <w:r>
        <w:rPr>
          <w:rStyle w:val="39"/>
          <w:rFonts w:hint="eastAsia" w:ascii="宋体" w:hAnsi="宋体" w:eastAsia="宋体" w:cs="宋体"/>
          <w:color w:val="auto"/>
          <w:sz w:val="24"/>
          <w:szCs w:val="21"/>
          <w:highlight w:val="none"/>
        </w:rPr>
        <w:t>评审评分项技术响应评分中所涉及的事项需提供的所有资料；</w:t>
      </w:r>
    </w:p>
    <w:p>
      <w:pPr>
        <w:snapToGrid w:val="0"/>
        <w:spacing w:line="360" w:lineRule="auto"/>
        <w:ind w:firstLine="360" w:firstLineChars="15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4.</w:t>
      </w:r>
      <w:r>
        <w:rPr>
          <w:rStyle w:val="39"/>
          <w:rFonts w:hint="eastAsia" w:ascii="宋体" w:hAnsi="宋体" w:eastAsia="宋体" w:cs="宋体"/>
          <w:color w:val="auto"/>
          <w:sz w:val="24"/>
          <w:szCs w:val="21"/>
          <w:highlight w:val="none"/>
        </w:rPr>
        <w:t>评审评分项中未涉及的事项，投标人认为需要提交的其他资料；</w:t>
      </w:r>
    </w:p>
    <w:p>
      <w:pPr>
        <w:snapToGrid w:val="0"/>
        <w:spacing w:line="360" w:lineRule="auto"/>
        <w:ind w:firstLine="360" w:firstLineChars="15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5.</w:t>
      </w:r>
      <w:r>
        <w:rPr>
          <w:rStyle w:val="39"/>
          <w:rFonts w:hint="eastAsia" w:ascii="宋体" w:hAnsi="宋体" w:eastAsia="宋体" w:cs="宋体"/>
          <w:color w:val="auto"/>
          <w:sz w:val="24"/>
          <w:szCs w:val="21"/>
          <w:highlight w:val="none"/>
        </w:rPr>
        <w:t>招标文件中要求提供的其他材料。</w:t>
      </w:r>
    </w:p>
    <w:p>
      <w:pPr>
        <w:snapToGrid w:val="0"/>
        <w:spacing w:line="360" w:lineRule="auto"/>
        <w:ind w:firstLine="360" w:firstLineChars="15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注：为方便评委评审，请投标供应商按评审评分项中所涉及的事项顺序进行编制，可以补充相关材料。</w:t>
      </w:r>
    </w:p>
    <w:p>
      <w:pPr>
        <w:snapToGrid w:val="0"/>
        <w:spacing w:line="360" w:lineRule="auto"/>
        <w:ind w:firstLine="482" w:firstLineChars="200"/>
        <w:jc w:val="left"/>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rPr>
        <w:t>（三）</w:t>
      </w:r>
      <w:r>
        <w:rPr>
          <w:rStyle w:val="39"/>
          <w:rFonts w:hint="eastAsia" w:ascii="宋体" w:hAnsi="宋体" w:eastAsia="宋体" w:cs="宋体"/>
          <w:b/>
          <w:bCs/>
          <w:color w:val="auto"/>
          <w:sz w:val="24"/>
          <w:szCs w:val="21"/>
          <w:highlight w:val="none"/>
          <w:lang w:val="en-US" w:eastAsia="zh-CN"/>
        </w:rPr>
        <w:t>报价文件</w:t>
      </w:r>
      <w:r>
        <w:rPr>
          <w:rStyle w:val="39"/>
          <w:rFonts w:hint="eastAsia" w:ascii="宋体" w:hAnsi="宋体" w:eastAsia="宋体" w:cs="宋体"/>
          <w:b/>
          <w:bCs/>
          <w:color w:val="auto"/>
          <w:sz w:val="24"/>
          <w:szCs w:val="21"/>
          <w:highlight w:val="none"/>
        </w:rPr>
        <w:t>（单独装订密封）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投标响应报价总表（格式参见第七章）。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投标响应报价明细表（格式</w:t>
      </w:r>
      <w:r>
        <w:rPr>
          <w:rFonts w:hint="eastAsia" w:ascii="宋体" w:hAnsi="宋体" w:eastAsia="宋体" w:cs="宋体"/>
          <w:color w:val="auto"/>
          <w:sz w:val="24"/>
          <w:szCs w:val="24"/>
          <w:highlight w:val="none"/>
          <w:lang w:val="en-US" w:eastAsia="zh-CN"/>
        </w:rPr>
        <w:t>自拟</w:t>
      </w:r>
      <w:r>
        <w:rPr>
          <w:rFonts w:hint="eastAsia" w:ascii="宋体" w:hAnsi="宋体" w:eastAsia="宋体" w:cs="宋体"/>
          <w:color w:val="auto"/>
          <w:sz w:val="24"/>
          <w:szCs w:val="24"/>
          <w:highlight w:val="none"/>
        </w:rPr>
        <w:t>）。</w:t>
      </w:r>
    </w:p>
    <w:p>
      <w:pPr>
        <w:snapToGrid w:val="0"/>
        <w:spacing w:line="360" w:lineRule="auto"/>
        <w:ind w:firstLine="482" w:firstLineChars="200"/>
        <w:jc w:val="left"/>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lang w:eastAsia="zh-CN"/>
        </w:rPr>
        <w:t>（</w:t>
      </w:r>
      <w:r>
        <w:rPr>
          <w:rStyle w:val="39"/>
          <w:rFonts w:hint="eastAsia" w:ascii="宋体" w:hAnsi="宋体" w:eastAsia="宋体" w:cs="宋体"/>
          <w:b/>
          <w:bCs/>
          <w:color w:val="auto"/>
          <w:sz w:val="24"/>
          <w:szCs w:val="21"/>
          <w:highlight w:val="none"/>
          <w:lang w:val="en-US" w:eastAsia="zh-CN"/>
        </w:rPr>
        <w:t>四</w:t>
      </w:r>
      <w:r>
        <w:rPr>
          <w:rStyle w:val="39"/>
          <w:rFonts w:hint="eastAsia" w:ascii="宋体" w:hAnsi="宋体" w:eastAsia="宋体" w:cs="宋体"/>
          <w:b/>
          <w:bCs/>
          <w:color w:val="auto"/>
          <w:sz w:val="24"/>
          <w:szCs w:val="21"/>
          <w:highlight w:val="none"/>
          <w:lang w:eastAsia="zh-CN"/>
        </w:rPr>
        <w:t>）</w:t>
      </w:r>
      <w:r>
        <w:rPr>
          <w:rStyle w:val="39"/>
          <w:rFonts w:hint="eastAsia" w:ascii="宋体" w:hAnsi="宋体" w:eastAsia="宋体" w:cs="宋体"/>
          <w:b/>
          <w:bCs/>
          <w:color w:val="auto"/>
          <w:sz w:val="24"/>
          <w:szCs w:val="21"/>
          <w:highlight w:val="none"/>
          <w:lang w:val="en-US" w:eastAsia="zh-CN"/>
        </w:rPr>
        <w:t>投标</w:t>
      </w:r>
      <w:r>
        <w:rPr>
          <w:rStyle w:val="39"/>
          <w:rFonts w:hint="eastAsia" w:ascii="宋体" w:hAnsi="宋体" w:eastAsia="宋体" w:cs="宋体"/>
          <w:b/>
          <w:bCs/>
          <w:color w:val="auto"/>
          <w:sz w:val="24"/>
          <w:szCs w:val="21"/>
          <w:highlight w:val="none"/>
        </w:rPr>
        <w:t>文件电子版（单独密封）</w:t>
      </w:r>
    </w:p>
    <w:p>
      <w:pPr>
        <w:snapToGrid w:val="0"/>
        <w:spacing w:line="360" w:lineRule="auto"/>
        <w:ind w:firstLine="480" w:firstLineChars="200"/>
        <w:rPr>
          <w:rStyle w:val="39"/>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文件电子版需将资格审查文件、</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lang w:eastAsia="zh-CN"/>
        </w:rPr>
        <w:t>技术文件、报价文件的正本盖章后扫描一份存于U盘中，单独密封递交。</w:t>
      </w:r>
      <w:r>
        <w:rPr>
          <w:rFonts w:hint="eastAsia" w:ascii="宋体" w:hAnsi="宋体" w:eastAsia="宋体" w:cs="宋体"/>
          <w:color w:val="auto"/>
          <w:sz w:val="24"/>
          <w:szCs w:val="24"/>
          <w:highlight w:val="none"/>
          <w:lang w:eastAsia="zh-CN"/>
        </w:rPr>
        <w:br w:type="textWrapping"/>
      </w:r>
    </w:p>
    <w:p>
      <w:pPr>
        <w:snapToGrid w:val="0"/>
        <w:ind w:firstLine="480" w:firstLineChars="200"/>
        <w:rPr>
          <w:rStyle w:val="39"/>
          <w:rFonts w:hint="eastAsia" w:ascii="宋体" w:hAnsi="宋体" w:eastAsia="宋体" w:cs="宋体"/>
          <w:color w:val="auto"/>
          <w:sz w:val="24"/>
          <w:szCs w:val="24"/>
          <w:highlight w:val="none"/>
        </w:rPr>
      </w:pPr>
      <w:r>
        <w:rPr>
          <w:rStyle w:val="39"/>
          <w:rFonts w:hint="eastAsia" w:ascii="宋体" w:hAnsi="宋体" w:eastAsia="宋体" w:cs="宋体"/>
          <w:bCs/>
          <w:color w:val="auto"/>
          <w:sz w:val="24"/>
          <w:szCs w:val="24"/>
          <w:highlight w:val="none"/>
          <w:lang w:eastAsia="zh-CN"/>
        </w:rPr>
        <w:br w:type="page"/>
      </w:r>
      <w:r>
        <w:rPr>
          <w:rStyle w:val="39"/>
          <w:rFonts w:hint="eastAsia" w:ascii="宋体" w:hAnsi="宋体" w:eastAsia="宋体" w:cs="宋体"/>
          <w:b/>
          <w:bCs/>
          <w:color w:val="auto"/>
          <w:sz w:val="24"/>
          <w:szCs w:val="21"/>
          <w:highlight w:val="none"/>
        </w:rPr>
        <w:t>附件：相关格式</w:t>
      </w:r>
    </w:p>
    <w:p>
      <w:pPr>
        <w:tabs>
          <w:tab w:val="center" w:pos="5023"/>
          <w:tab w:val="left" w:pos="8652"/>
        </w:tabs>
        <w:snapToGrid w:val="0"/>
        <w:spacing w:before="360" w:line="400" w:lineRule="exact"/>
        <w:jc w:val="center"/>
        <w:rPr>
          <w:rStyle w:val="39"/>
          <w:rFonts w:hint="eastAsia" w:ascii="宋体" w:hAnsi="宋体" w:eastAsia="宋体" w:cs="宋体"/>
          <w:b/>
          <w:color w:val="auto"/>
          <w:sz w:val="52"/>
          <w:szCs w:val="52"/>
          <w:highlight w:val="none"/>
        </w:rPr>
      </w:pPr>
    </w:p>
    <w:p>
      <w:pPr>
        <w:snapToGrid w:val="0"/>
        <w:spacing w:line="500" w:lineRule="exact"/>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rPr>
        <w:t>A资格审查文件相关的格式文件及表格（单独密封）</w:t>
      </w:r>
    </w:p>
    <w:p>
      <w:pPr>
        <w:snapToGrid w:val="0"/>
        <w:spacing w:line="500" w:lineRule="exact"/>
        <w:jc w:val="center"/>
        <w:rPr>
          <w:rStyle w:val="39"/>
          <w:rFonts w:hint="eastAsia" w:ascii="宋体" w:hAnsi="宋体" w:eastAsia="宋体" w:cs="宋体"/>
          <w:b/>
          <w:bCs/>
          <w:color w:val="auto"/>
          <w:sz w:val="24"/>
          <w:szCs w:val="21"/>
          <w:highlight w:val="none"/>
        </w:rPr>
      </w:pPr>
    </w:p>
    <w:p>
      <w:pPr>
        <w:snapToGrid w:val="0"/>
        <w:spacing w:line="500" w:lineRule="exact"/>
        <w:jc w:val="center"/>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lang w:eastAsia="zh-CN"/>
        </w:rPr>
        <w:t>1.</w:t>
      </w:r>
      <w:r>
        <w:rPr>
          <w:rStyle w:val="39"/>
          <w:rFonts w:hint="eastAsia" w:ascii="宋体" w:hAnsi="宋体" w:eastAsia="宋体" w:cs="宋体"/>
          <w:b/>
          <w:bCs/>
          <w:color w:val="auto"/>
          <w:sz w:val="24"/>
          <w:szCs w:val="21"/>
          <w:highlight w:val="none"/>
        </w:rPr>
        <w:t>法定代表人身份证明</w:t>
      </w:r>
    </w:p>
    <w:p>
      <w:pPr>
        <w:snapToGrid w:val="0"/>
        <w:spacing w:line="500" w:lineRule="exact"/>
        <w:jc w:val="center"/>
        <w:rPr>
          <w:rStyle w:val="39"/>
          <w:rFonts w:hint="eastAsia" w:ascii="宋体" w:hAnsi="宋体" w:eastAsia="宋体" w:cs="宋体"/>
          <w:color w:val="auto"/>
          <w:sz w:val="24"/>
          <w:szCs w:val="21"/>
          <w:highlight w:val="none"/>
          <w:u w:val="single"/>
        </w:rPr>
      </w:pPr>
      <w:r>
        <w:rPr>
          <w:rStyle w:val="39"/>
          <w:rFonts w:hint="eastAsia" w:ascii="宋体" w:hAnsi="宋体" w:eastAsia="宋体" w:cs="宋体"/>
          <w:color w:val="auto"/>
          <w:sz w:val="24"/>
          <w:szCs w:val="21"/>
          <w:highlight w:val="none"/>
          <w:u w:val="single" w:color="000000"/>
        </w:rPr>
        <w:t>（法定代表人参加投标时，须出示此证明）</w:t>
      </w:r>
    </w:p>
    <w:p>
      <w:pPr>
        <w:snapToGrid w:val="0"/>
        <w:spacing w:line="500" w:lineRule="exact"/>
        <w:jc w:val="center"/>
        <w:rPr>
          <w:rStyle w:val="39"/>
          <w:rFonts w:hint="eastAsia" w:ascii="宋体" w:hAnsi="宋体" w:eastAsia="宋体" w:cs="宋体"/>
          <w:color w:val="auto"/>
          <w:sz w:val="24"/>
          <w:szCs w:val="21"/>
          <w:highlight w:val="none"/>
        </w:rPr>
      </w:pP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u w:val="single" w:color="000000"/>
          <w:lang w:eastAsia="zh-CN"/>
        </w:rPr>
        <w:t>南通博物苑</w:t>
      </w:r>
      <w:r>
        <w:rPr>
          <w:rStyle w:val="39"/>
          <w:rFonts w:hint="eastAsia" w:ascii="宋体" w:hAnsi="宋体" w:eastAsia="宋体" w:cs="宋体"/>
          <w:color w:val="auto"/>
          <w:sz w:val="24"/>
          <w:szCs w:val="21"/>
          <w:highlight w:val="none"/>
        </w:rPr>
        <w:t>：</w:t>
      </w:r>
    </w:p>
    <w:p>
      <w:pPr>
        <w:snapToGrid w:val="0"/>
        <w:spacing w:line="50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我公司法定代表人</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参加贵单位组织的</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（招标项目名称)的项目投标活动，全权代表我公司处理投标的有关事宜。</w:t>
      </w:r>
    </w:p>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ind w:firstLine="484" w:firstLineChars="202"/>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附：法定代表人情况：</w:t>
      </w:r>
    </w:p>
    <w:p>
      <w:pPr>
        <w:snapToGrid w:val="0"/>
        <w:spacing w:line="500" w:lineRule="exact"/>
        <w:ind w:firstLine="484" w:firstLineChars="202"/>
        <w:rPr>
          <w:rStyle w:val="39"/>
          <w:rFonts w:hint="eastAsia" w:ascii="宋体" w:hAnsi="宋体" w:eastAsia="宋体" w:cs="宋体"/>
          <w:color w:val="auto"/>
          <w:sz w:val="24"/>
          <w:szCs w:val="21"/>
          <w:highlight w:val="none"/>
          <w:u w:val="single"/>
        </w:rPr>
      </w:pPr>
      <w:r>
        <w:rPr>
          <w:rStyle w:val="39"/>
          <w:rFonts w:hint="eastAsia" w:ascii="宋体" w:hAnsi="宋体" w:eastAsia="宋体" w:cs="宋体"/>
          <w:color w:val="auto"/>
          <w:sz w:val="24"/>
          <w:szCs w:val="21"/>
          <w:highlight w:val="none"/>
        </w:rPr>
        <w:t>姓名：</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性别：</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年龄：</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职务：</w:t>
      </w:r>
      <w:r>
        <w:rPr>
          <w:rStyle w:val="39"/>
          <w:rFonts w:hint="eastAsia" w:ascii="宋体" w:hAnsi="宋体" w:eastAsia="宋体" w:cs="宋体"/>
          <w:color w:val="auto"/>
          <w:sz w:val="24"/>
          <w:szCs w:val="21"/>
          <w:highlight w:val="none"/>
          <w:u w:val="single" w:color="000000"/>
        </w:rPr>
        <w:t xml:space="preserve">          </w:t>
      </w:r>
    </w:p>
    <w:p>
      <w:pPr>
        <w:snapToGrid w:val="0"/>
        <w:spacing w:line="500" w:lineRule="exact"/>
        <w:ind w:firstLine="484" w:firstLineChars="202"/>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身份证号码：</w:t>
      </w:r>
      <w:r>
        <w:rPr>
          <w:rStyle w:val="39"/>
          <w:rFonts w:hint="eastAsia" w:ascii="宋体" w:hAnsi="宋体" w:eastAsia="宋体" w:cs="宋体"/>
          <w:color w:val="auto"/>
          <w:sz w:val="24"/>
          <w:szCs w:val="21"/>
          <w:highlight w:val="none"/>
          <w:u w:val="single" w:color="000000"/>
        </w:rPr>
        <w:t xml:space="preserve">                                         </w:t>
      </w:r>
    </w:p>
    <w:p>
      <w:pPr>
        <w:snapToGrid w:val="0"/>
        <w:spacing w:line="500" w:lineRule="exact"/>
        <w:ind w:firstLine="484" w:firstLineChars="202"/>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手机：</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传真：</w:t>
      </w:r>
      <w:r>
        <w:rPr>
          <w:rStyle w:val="39"/>
          <w:rFonts w:hint="eastAsia" w:ascii="宋体" w:hAnsi="宋体" w:eastAsia="宋体" w:cs="宋体"/>
          <w:color w:val="auto"/>
          <w:sz w:val="24"/>
          <w:szCs w:val="21"/>
          <w:highlight w:val="none"/>
          <w:u w:val="single" w:color="000000"/>
        </w:rPr>
        <w:t xml:space="preserve">                       </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w:t>
      </w:r>
    </w:p>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单位名称（公章）                   法定代表人（签字或盖章）</w:t>
      </w:r>
    </w:p>
    <w:p>
      <w:pPr>
        <w:snapToGrid w:val="0"/>
        <w:spacing w:line="500" w:lineRule="exact"/>
        <w:ind w:firstLine="1200" w:firstLineChars="5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年   月   日                      年   月    日  </w:t>
      </w:r>
    </w:p>
    <w:p>
      <w:pPr>
        <w:snapToGrid w:val="0"/>
        <w:spacing w:line="500" w:lineRule="exact"/>
        <w:rPr>
          <w:rStyle w:val="39"/>
          <w:rFonts w:hint="eastAsia" w:ascii="宋体" w:hAnsi="宋体" w:eastAsia="宋体" w:cs="宋体"/>
          <w:color w:val="auto"/>
          <w:sz w:val="24"/>
          <w:szCs w:val="21"/>
          <w:highlight w:val="none"/>
        </w:rPr>
      </w:pPr>
    </w:p>
    <w:p>
      <w:pPr>
        <w:pStyle w:val="92"/>
        <w:snapToGrid w:val="0"/>
        <w:ind w:firstLine="520"/>
        <w:rPr>
          <w:rStyle w:val="39"/>
          <w:rFonts w:hint="eastAsia" w:ascii="宋体" w:hAnsi="宋体" w:eastAsia="宋体" w:cs="宋体"/>
          <w:color w:val="auto"/>
          <w:sz w:val="26"/>
          <w:highlight w:val="none"/>
        </w:rPr>
      </w:pPr>
    </w:p>
    <w:p>
      <w:pPr>
        <w:snapToGrid w:val="0"/>
        <w:spacing w:line="500" w:lineRule="exact"/>
        <w:ind w:firstLine="2640" w:firstLineChars="11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法定代表人身份证复印件</w:t>
      </w:r>
    </w:p>
    <w:p>
      <w:pPr>
        <w:snapToGrid w:val="0"/>
        <w:spacing w:line="500" w:lineRule="exact"/>
        <w:ind w:firstLine="3000" w:firstLineChars="125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（粘贴此处）</w:t>
      </w:r>
    </w:p>
    <w:p>
      <w:pPr>
        <w:snapToGrid w:val="0"/>
        <w:spacing w:line="500" w:lineRule="exact"/>
        <w:ind w:firstLine="2280" w:firstLineChars="950"/>
        <w:rPr>
          <w:rStyle w:val="39"/>
          <w:rFonts w:hint="eastAsia" w:ascii="宋体" w:hAnsi="宋体" w:eastAsia="宋体" w:cs="宋体"/>
          <w:color w:val="auto"/>
          <w:sz w:val="24"/>
          <w:szCs w:val="21"/>
          <w:highlight w:val="none"/>
        </w:rPr>
      </w:pPr>
    </w:p>
    <w:p>
      <w:pPr>
        <w:snapToGrid w:val="0"/>
        <w:spacing w:line="500" w:lineRule="exact"/>
        <w:rPr>
          <w:rStyle w:val="39"/>
          <w:rFonts w:hint="eastAsia" w:ascii="宋体" w:hAnsi="宋体" w:eastAsia="宋体" w:cs="宋体"/>
          <w:b/>
          <w:bCs/>
          <w:color w:val="auto"/>
          <w:sz w:val="24"/>
          <w:szCs w:val="21"/>
          <w:highlight w:val="none"/>
        </w:rPr>
      </w:pPr>
    </w:p>
    <w:p>
      <w:pPr>
        <w:snapToGrid w:val="0"/>
        <w:spacing w:line="500" w:lineRule="exact"/>
        <w:ind w:firstLine="482"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b/>
          <w:bCs/>
          <w:color w:val="auto"/>
          <w:sz w:val="24"/>
          <w:szCs w:val="21"/>
          <w:highlight w:val="none"/>
        </w:rPr>
        <w:t>注:</w:t>
      </w:r>
      <w:r>
        <w:rPr>
          <w:rStyle w:val="39"/>
          <w:rFonts w:hint="eastAsia" w:ascii="宋体" w:hAnsi="宋体" w:eastAsia="宋体" w:cs="宋体"/>
          <w:color w:val="auto"/>
          <w:sz w:val="24"/>
          <w:szCs w:val="21"/>
          <w:highlight w:val="none"/>
        </w:rPr>
        <w:t>如为法定代表人参加投标时，须将身份证原件带至开标现场备查。</w:t>
      </w:r>
    </w:p>
    <w:p>
      <w:pPr>
        <w:snapToGrid w:val="0"/>
        <w:spacing w:line="500" w:lineRule="exact"/>
        <w:jc w:val="center"/>
        <w:rPr>
          <w:rStyle w:val="39"/>
          <w:rFonts w:hint="eastAsia" w:ascii="宋体" w:hAnsi="宋体" w:eastAsia="宋体" w:cs="宋体"/>
          <w:b/>
          <w:bCs/>
          <w:color w:val="auto"/>
          <w:sz w:val="24"/>
          <w:szCs w:val="21"/>
          <w:highlight w:val="none"/>
        </w:rPr>
      </w:pPr>
    </w:p>
    <w:p>
      <w:pPr>
        <w:snapToGrid w:val="0"/>
        <w:spacing w:line="500" w:lineRule="exact"/>
        <w:jc w:val="center"/>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lang w:eastAsia="zh-CN"/>
        </w:rPr>
        <w:t>2.</w:t>
      </w:r>
      <w:r>
        <w:rPr>
          <w:rStyle w:val="39"/>
          <w:rFonts w:hint="eastAsia" w:ascii="宋体" w:hAnsi="宋体" w:eastAsia="宋体" w:cs="宋体"/>
          <w:b/>
          <w:bCs/>
          <w:color w:val="auto"/>
          <w:sz w:val="24"/>
          <w:szCs w:val="21"/>
          <w:highlight w:val="none"/>
        </w:rPr>
        <w:t>授权委托书</w:t>
      </w:r>
    </w:p>
    <w:p>
      <w:pPr>
        <w:snapToGrid w:val="0"/>
        <w:spacing w:line="500" w:lineRule="exact"/>
        <w:jc w:val="center"/>
        <w:rPr>
          <w:rStyle w:val="39"/>
          <w:rFonts w:hint="eastAsia" w:ascii="宋体" w:hAnsi="宋体" w:eastAsia="宋体" w:cs="宋体"/>
          <w:color w:val="auto"/>
          <w:sz w:val="24"/>
          <w:szCs w:val="21"/>
          <w:highlight w:val="none"/>
          <w:u w:val="single"/>
        </w:rPr>
      </w:pPr>
      <w:r>
        <w:rPr>
          <w:rStyle w:val="39"/>
          <w:rFonts w:hint="eastAsia" w:ascii="宋体" w:hAnsi="宋体" w:eastAsia="宋体" w:cs="宋体"/>
          <w:color w:val="auto"/>
          <w:sz w:val="24"/>
          <w:szCs w:val="21"/>
          <w:highlight w:val="none"/>
          <w:u w:val="single" w:color="000000"/>
        </w:rPr>
        <w:t>（被授权人参加投标时，须出示此证明）</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u w:val="single" w:color="000000"/>
          <w:lang w:eastAsia="zh-CN"/>
        </w:rPr>
        <w:t>南通博物苑</w:t>
      </w:r>
      <w:r>
        <w:rPr>
          <w:rStyle w:val="39"/>
          <w:rFonts w:hint="eastAsia" w:ascii="宋体" w:hAnsi="宋体" w:eastAsia="宋体" w:cs="宋体"/>
          <w:color w:val="auto"/>
          <w:sz w:val="24"/>
          <w:szCs w:val="21"/>
          <w:highlight w:val="none"/>
        </w:rPr>
        <w:t>：</w:t>
      </w:r>
    </w:p>
    <w:p>
      <w:pPr>
        <w:snapToGrid w:val="0"/>
        <w:spacing w:line="500" w:lineRule="exact"/>
        <w:ind w:left="1"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兹授权</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被授权人的姓名）代表我公司参加</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（招标项目名称)项目的投标活动，全权处理一切与该项目投标有关的事务。其在办理上述事宜过程中所签署的所有文件我公司均予以承认。</w:t>
      </w:r>
    </w:p>
    <w:p>
      <w:pPr>
        <w:snapToGrid w:val="0"/>
        <w:spacing w:line="500" w:lineRule="exact"/>
        <w:ind w:left="1"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被授权人无转委托权。特此委托。</w:t>
      </w:r>
    </w:p>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附：被授权人情况：</w:t>
      </w:r>
    </w:p>
    <w:p>
      <w:pPr>
        <w:snapToGrid w:val="0"/>
        <w:spacing w:line="500" w:lineRule="exact"/>
        <w:rPr>
          <w:rStyle w:val="39"/>
          <w:rFonts w:hint="eastAsia" w:ascii="宋体" w:hAnsi="宋体" w:eastAsia="宋体" w:cs="宋体"/>
          <w:color w:val="auto"/>
          <w:sz w:val="24"/>
          <w:szCs w:val="21"/>
          <w:highlight w:val="none"/>
          <w:u w:val="single"/>
        </w:rPr>
      </w:pPr>
      <w:r>
        <w:rPr>
          <w:rStyle w:val="39"/>
          <w:rFonts w:hint="eastAsia" w:ascii="宋体" w:hAnsi="宋体" w:eastAsia="宋体" w:cs="宋体"/>
          <w:color w:val="auto"/>
          <w:sz w:val="24"/>
          <w:szCs w:val="21"/>
          <w:highlight w:val="none"/>
        </w:rPr>
        <w:t>姓名：</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性别：</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年龄：</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职务：</w:t>
      </w:r>
      <w:r>
        <w:rPr>
          <w:rStyle w:val="39"/>
          <w:rFonts w:hint="eastAsia" w:ascii="宋体" w:hAnsi="宋体" w:eastAsia="宋体" w:cs="宋体"/>
          <w:color w:val="auto"/>
          <w:sz w:val="24"/>
          <w:szCs w:val="21"/>
          <w:highlight w:val="none"/>
          <w:u w:val="single" w:color="000000"/>
        </w:rPr>
        <w:t xml:space="preserve">          </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身份证号码：</w:t>
      </w:r>
      <w:r>
        <w:rPr>
          <w:rStyle w:val="39"/>
          <w:rFonts w:hint="eastAsia" w:ascii="宋体" w:hAnsi="宋体" w:eastAsia="宋体" w:cs="宋体"/>
          <w:color w:val="auto"/>
          <w:sz w:val="24"/>
          <w:szCs w:val="21"/>
          <w:highlight w:val="none"/>
          <w:u w:val="single" w:color="000000"/>
        </w:rPr>
        <w:t xml:space="preserve">                                         </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手机：</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传真：</w:t>
      </w:r>
      <w:r>
        <w:rPr>
          <w:rStyle w:val="39"/>
          <w:rFonts w:hint="eastAsia" w:ascii="宋体" w:hAnsi="宋体" w:eastAsia="宋体" w:cs="宋体"/>
          <w:color w:val="auto"/>
          <w:sz w:val="24"/>
          <w:szCs w:val="21"/>
          <w:highlight w:val="none"/>
          <w:u w:val="single" w:color="000000"/>
        </w:rPr>
        <w:t xml:space="preserve">                        </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单位名称（公章）                      法定代表人（签字或盖章）</w:t>
      </w:r>
    </w:p>
    <w:p>
      <w:pPr>
        <w:snapToGrid w:val="0"/>
        <w:spacing w:line="500" w:lineRule="exact"/>
        <w:ind w:firstLine="1200" w:firstLineChars="5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年   月   日                        年   月   日</w:t>
      </w:r>
    </w:p>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jc w:val="center"/>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法定代表人身份证复印件</w:t>
      </w:r>
    </w:p>
    <w:p>
      <w:pPr>
        <w:snapToGrid w:val="0"/>
        <w:spacing w:line="500" w:lineRule="exact"/>
        <w:jc w:val="center"/>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（粘贴此处）</w:t>
      </w:r>
    </w:p>
    <w:p>
      <w:pPr>
        <w:snapToGrid w:val="0"/>
        <w:spacing w:line="500" w:lineRule="exact"/>
        <w:jc w:val="center"/>
        <w:rPr>
          <w:rStyle w:val="39"/>
          <w:rFonts w:hint="eastAsia" w:ascii="宋体" w:hAnsi="宋体" w:eastAsia="宋体" w:cs="宋体"/>
          <w:color w:val="auto"/>
          <w:sz w:val="24"/>
          <w:szCs w:val="21"/>
          <w:highlight w:val="none"/>
        </w:rPr>
      </w:pPr>
    </w:p>
    <w:p>
      <w:pPr>
        <w:snapToGrid w:val="0"/>
        <w:spacing w:line="500" w:lineRule="exact"/>
        <w:jc w:val="center"/>
        <w:rPr>
          <w:rStyle w:val="39"/>
          <w:rFonts w:hint="eastAsia" w:ascii="宋体" w:hAnsi="宋体" w:eastAsia="宋体" w:cs="宋体"/>
          <w:color w:val="auto"/>
          <w:sz w:val="24"/>
          <w:szCs w:val="21"/>
          <w:highlight w:val="none"/>
        </w:rPr>
      </w:pPr>
    </w:p>
    <w:p>
      <w:pPr>
        <w:snapToGrid w:val="0"/>
        <w:spacing w:line="500" w:lineRule="exact"/>
        <w:jc w:val="center"/>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被授权人身份证复印件</w:t>
      </w:r>
    </w:p>
    <w:p>
      <w:pPr>
        <w:snapToGrid w:val="0"/>
        <w:spacing w:line="500" w:lineRule="exact"/>
        <w:jc w:val="center"/>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（粘贴此处）</w:t>
      </w:r>
    </w:p>
    <w:p>
      <w:pPr>
        <w:snapToGrid w:val="0"/>
        <w:spacing w:line="500" w:lineRule="exact"/>
        <w:ind w:firstLine="482" w:firstLineChars="200"/>
        <w:rPr>
          <w:rStyle w:val="39"/>
          <w:rFonts w:hint="eastAsia" w:ascii="宋体" w:hAnsi="宋体" w:eastAsia="宋体" w:cs="宋体"/>
          <w:b/>
          <w:bCs/>
          <w:color w:val="auto"/>
          <w:sz w:val="24"/>
          <w:szCs w:val="21"/>
          <w:highlight w:val="none"/>
        </w:rPr>
      </w:pPr>
    </w:p>
    <w:p>
      <w:pPr>
        <w:snapToGrid w:val="0"/>
        <w:spacing w:line="500" w:lineRule="exact"/>
        <w:ind w:firstLine="482"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b/>
          <w:bCs/>
          <w:color w:val="auto"/>
          <w:sz w:val="24"/>
          <w:szCs w:val="21"/>
          <w:highlight w:val="none"/>
        </w:rPr>
        <w:t>注:</w:t>
      </w:r>
      <w:r>
        <w:rPr>
          <w:rStyle w:val="39"/>
          <w:rFonts w:hint="eastAsia" w:ascii="宋体" w:hAnsi="宋体" w:eastAsia="宋体" w:cs="宋体"/>
          <w:color w:val="auto"/>
          <w:sz w:val="24"/>
          <w:szCs w:val="21"/>
          <w:highlight w:val="none"/>
        </w:rPr>
        <w:t>如为被授权人参加投标时，须将身份证原件带至开标现场备查。</w:t>
      </w:r>
    </w:p>
    <w:p>
      <w:pPr>
        <w:pStyle w:val="104"/>
        <w:spacing w:line="520" w:lineRule="exact"/>
        <w:ind w:firstLine="480"/>
        <w:jc w:val="center"/>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rPr>
        <w:br w:type="textWrapping"/>
      </w:r>
    </w:p>
    <w:p>
      <w:pPr>
        <w:pStyle w:val="104"/>
        <w:spacing w:line="520" w:lineRule="exact"/>
        <w:ind w:firstLine="482"/>
        <w:jc w:val="center"/>
        <w:rPr>
          <w:rStyle w:val="39"/>
          <w:rFonts w:hint="eastAsia" w:ascii="宋体" w:hAnsi="宋体" w:eastAsia="宋体" w:cs="宋体"/>
          <w:b/>
          <w:bCs/>
          <w:color w:val="auto"/>
          <w:szCs w:val="21"/>
          <w:highlight w:val="none"/>
        </w:rPr>
      </w:pPr>
      <w:r>
        <w:rPr>
          <w:rStyle w:val="39"/>
          <w:rFonts w:hint="eastAsia" w:ascii="宋体" w:hAnsi="宋体" w:eastAsia="宋体" w:cs="宋体"/>
          <w:b/>
          <w:bCs/>
          <w:color w:val="auto"/>
          <w:szCs w:val="21"/>
          <w:highlight w:val="none"/>
        </w:rPr>
        <w:br w:type="page"/>
      </w:r>
      <w:r>
        <w:rPr>
          <w:rStyle w:val="39"/>
          <w:rFonts w:hint="eastAsia" w:hAnsi="宋体" w:cs="宋体"/>
          <w:b/>
          <w:bCs/>
          <w:color w:val="auto"/>
          <w:szCs w:val="21"/>
          <w:highlight w:val="none"/>
          <w:lang w:eastAsia="zh-CN"/>
        </w:rPr>
        <w:t>3.</w:t>
      </w:r>
      <w:r>
        <w:rPr>
          <w:rStyle w:val="39"/>
          <w:rFonts w:hint="eastAsia" w:ascii="宋体" w:hAnsi="宋体" w:eastAsia="宋体" w:cs="宋体"/>
          <w:b/>
          <w:bCs/>
          <w:color w:val="auto"/>
          <w:szCs w:val="21"/>
          <w:highlight w:val="none"/>
        </w:rPr>
        <w:t>无重大违法记录声明函</w:t>
      </w:r>
    </w:p>
    <w:p>
      <w:pPr>
        <w:snapToGrid w:val="0"/>
        <w:spacing w:line="500" w:lineRule="exact"/>
        <w:rPr>
          <w:rStyle w:val="39"/>
          <w:rFonts w:hint="eastAsia" w:ascii="宋体" w:hAnsi="宋体" w:eastAsia="宋体" w:cs="宋体"/>
          <w:bCs/>
          <w:color w:val="auto"/>
          <w:sz w:val="24"/>
          <w:szCs w:val="21"/>
          <w:highlight w:val="none"/>
        </w:rPr>
      </w:pPr>
      <w:r>
        <w:rPr>
          <w:rStyle w:val="39"/>
          <w:rFonts w:hint="eastAsia" w:ascii="宋体" w:hAnsi="宋体" w:eastAsia="宋体" w:cs="宋体"/>
          <w:color w:val="auto"/>
          <w:sz w:val="24"/>
          <w:szCs w:val="21"/>
          <w:highlight w:val="none"/>
          <w:u w:val="single" w:color="000000"/>
          <w:lang w:eastAsia="zh-CN"/>
        </w:rPr>
        <w:t>南通博物苑</w:t>
      </w:r>
      <w:r>
        <w:rPr>
          <w:rStyle w:val="39"/>
          <w:rFonts w:hint="eastAsia" w:ascii="宋体" w:hAnsi="宋体" w:eastAsia="宋体" w:cs="宋体"/>
          <w:bCs/>
          <w:color w:val="auto"/>
          <w:sz w:val="24"/>
          <w:szCs w:val="21"/>
          <w:highlight w:val="none"/>
        </w:rPr>
        <w:t>：</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我单位</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（供应商名称）郑重声明：</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参加</w:t>
      </w:r>
      <w:r>
        <w:rPr>
          <w:rStyle w:val="39"/>
          <w:rFonts w:hint="eastAsia" w:ascii="宋体" w:hAnsi="宋体" w:eastAsia="宋体" w:cs="宋体"/>
          <w:color w:val="auto"/>
          <w:sz w:val="24"/>
          <w:szCs w:val="21"/>
          <w:highlight w:val="none"/>
          <w:lang w:eastAsia="zh-CN"/>
        </w:rPr>
        <w:t>采购活动</w:t>
      </w:r>
      <w:r>
        <w:rPr>
          <w:rStyle w:val="39"/>
          <w:rFonts w:hint="eastAsia" w:ascii="宋体" w:hAnsi="宋体" w:eastAsia="宋体" w:cs="宋体"/>
          <w:color w:val="auto"/>
          <w:sz w:val="24"/>
          <w:szCs w:val="21"/>
          <w:highlight w:val="none"/>
        </w:rPr>
        <w:t>前3年内在经营活动中</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（在下划线上如实填写：</w:t>
      </w:r>
      <w:r>
        <w:rPr>
          <w:rStyle w:val="39"/>
          <w:rFonts w:hint="eastAsia" w:ascii="宋体" w:hAnsi="宋体" w:eastAsia="宋体" w:cs="宋体"/>
          <w:color w:val="auto"/>
          <w:sz w:val="24"/>
          <w:szCs w:val="21"/>
          <w:highlight w:val="none"/>
          <w:u w:val="single" w:color="000000"/>
        </w:rPr>
        <w:t>有或没有</w:t>
      </w:r>
      <w:r>
        <w:rPr>
          <w:rStyle w:val="39"/>
          <w:rFonts w:hint="eastAsia" w:ascii="宋体" w:hAnsi="宋体" w:eastAsia="宋体" w:cs="宋体"/>
          <w:color w:val="auto"/>
          <w:sz w:val="24"/>
          <w:szCs w:val="21"/>
          <w:highlight w:val="none"/>
        </w:rPr>
        <w:t>）重大违法记录。</w:t>
      </w:r>
    </w:p>
    <w:p>
      <w:pPr>
        <w:snapToGrid w:val="0"/>
        <w:spacing w:line="500" w:lineRule="exact"/>
        <w:ind w:firstLine="48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（说明：重大违法记录，是指供应商因违法经营受到刑事处罚或者责令停产停业、吊销许可证或者执照、较大数额罚款等行政处罚。）</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声明人：（公章）</w:t>
      </w:r>
    </w:p>
    <w:p>
      <w:pPr>
        <w:snapToGrid w:val="0"/>
        <w:spacing w:line="500" w:lineRule="exact"/>
        <w:jc w:val="center"/>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年     月    日</w:t>
      </w:r>
    </w:p>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jc w:val="center"/>
        <w:rPr>
          <w:rStyle w:val="39"/>
          <w:rFonts w:hint="eastAsia" w:ascii="宋体" w:hAnsi="宋体" w:eastAsia="宋体" w:cs="宋体"/>
          <w:b/>
          <w:bCs/>
          <w:color w:val="auto"/>
          <w:sz w:val="24"/>
          <w:szCs w:val="21"/>
          <w:highlight w:val="none"/>
        </w:rPr>
      </w:pPr>
    </w:p>
    <w:p>
      <w:pPr>
        <w:snapToGrid w:val="0"/>
        <w:spacing w:line="500" w:lineRule="exact"/>
        <w:jc w:val="center"/>
        <w:rPr>
          <w:rStyle w:val="39"/>
          <w:rFonts w:hint="eastAsia" w:ascii="宋体" w:hAnsi="宋体" w:eastAsia="宋体" w:cs="宋体"/>
          <w:b/>
          <w:bCs/>
          <w:color w:val="auto"/>
          <w:sz w:val="24"/>
          <w:szCs w:val="21"/>
          <w:highlight w:val="none"/>
        </w:rPr>
      </w:pPr>
    </w:p>
    <w:p>
      <w:pPr>
        <w:snapToGrid w:val="0"/>
        <w:spacing w:line="500" w:lineRule="exact"/>
        <w:jc w:val="center"/>
        <w:rPr>
          <w:rStyle w:val="39"/>
          <w:rFonts w:hint="eastAsia" w:ascii="宋体" w:hAnsi="宋体" w:eastAsia="宋体" w:cs="宋体"/>
          <w:b/>
          <w:bCs/>
          <w:color w:val="auto"/>
          <w:sz w:val="24"/>
          <w:szCs w:val="21"/>
          <w:highlight w:val="none"/>
        </w:rPr>
      </w:pPr>
    </w:p>
    <w:p>
      <w:pPr>
        <w:snapToGrid w:val="0"/>
        <w:spacing w:line="500" w:lineRule="exact"/>
        <w:jc w:val="center"/>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rPr>
        <w:br w:type="textWrapping"/>
      </w:r>
    </w:p>
    <w:p>
      <w:pPr>
        <w:snapToGrid w:val="0"/>
        <w:spacing w:line="500" w:lineRule="exact"/>
        <w:jc w:val="center"/>
        <w:rPr>
          <w:rStyle w:val="39"/>
          <w:rFonts w:hint="eastAsia" w:ascii="宋体" w:hAnsi="宋体" w:eastAsia="宋体" w:cs="宋体"/>
          <w:color w:val="auto"/>
          <w:sz w:val="24"/>
          <w:szCs w:val="21"/>
          <w:highlight w:val="none"/>
        </w:rPr>
      </w:pPr>
      <w:r>
        <w:rPr>
          <w:rStyle w:val="39"/>
          <w:rFonts w:hint="eastAsia" w:ascii="宋体" w:hAnsi="宋体" w:eastAsia="宋体" w:cs="宋体"/>
          <w:b/>
          <w:bCs/>
          <w:color w:val="auto"/>
          <w:sz w:val="24"/>
          <w:szCs w:val="21"/>
          <w:highlight w:val="none"/>
        </w:rPr>
        <w:br w:type="page"/>
      </w:r>
      <w:r>
        <w:rPr>
          <w:rStyle w:val="39"/>
          <w:rFonts w:hint="eastAsia" w:ascii="宋体" w:hAnsi="宋体" w:eastAsia="宋体" w:cs="宋体"/>
          <w:b/>
          <w:bCs/>
          <w:color w:val="auto"/>
          <w:sz w:val="24"/>
          <w:szCs w:val="21"/>
          <w:highlight w:val="none"/>
          <w:lang w:eastAsia="zh-CN"/>
        </w:rPr>
        <w:t>4.</w:t>
      </w:r>
      <w:r>
        <w:rPr>
          <w:rStyle w:val="39"/>
          <w:rFonts w:hint="eastAsia" w:ascii="宋体" w:hAnsi="宋体" w:eastAsia="宋体" w:cs="宋体"/>
          <w:b/>
          <w:bCs/>
          <w:color w:val="auto"/>
          <w:sz w:val="24"/>
          <w:szCs w:val="21"/>
          <w:highlight w:val="none"/>
        </w:rPr>
        <w:t>关于资格文件的声明函</w:t>
      </w:r>
    </w:p>
    <w:p>
      <w:pPr>
        <w:snapToGrid w:val="0"/>
        <w:spacing w:line="500" w:lineRule="exact"/>
        <w:ind w:firstLine="420"/>
        <w:jc w:val="center"/>
        <w:rPr>
          <w:rStyle w:val="39"/>
          <w:rFonts w:hint="eastAsia" w:ascii="宋体" w:hAnsi="宋体" w:eastAsia="宋体" w:cs="宋体"/>
          <w:color w:val="auto"/>
          <w:sz w:val="24"/>
          <w:szCs w:val="21"/>
          <w:highlight w:val="none"/>
        </w:rPr>
      </w:pPr>
    </w:p>
    <w:p>
      <w:pPr>
        <w:snapToGrid w:val="0"/>
        <w:spacing w:line="500" w:lineRule="exact"/>
        <w:jc w:val="left"/>
        <w:rPr>
          <w:rStyle w:val="39"/>
          <w:rFonts w:hint="eastAsia" w:ascii="宋体" w:hAnsi="宋体" w:eastAsia="宋体" w:cs="宋体"/>
          <w:color w:val="auto"/>
          <w:sz w:val="24"/>
          <w:szCs w:val="21"/>
          <w:highlight w:val="none"/>
          <w:u w:val="single"/>
        </w:rPr>
      </w:pPr>
      <w:r>
        <w:rPr>
          <w:rStyle w:val="39"/>
          <w:rFonts w:hint="eastAsia" w:ascii="宋体" w:hAnsi="宋体" w:eastAsia="宋体" w:cs="宋体"/>
          <w:color w:val="auto"/>
          <w:sz w:val="24"/>
          <w:szCs w:val="21"/>
          <w:highlight w:val="none"/>
          <w:u w:val="single" w:color="000000"/>
          <w:lang w:eastAsia="zh-CN"/>
        </w:rPr>
        <w:t>南通博物苑</w:t>
      </w:r>
      <w:r>
        <w:rPr>
          <w:rStyle w:val="39"/>
          <w:rFonts w:hint="eastAsia" w:ascii="宋体" w:hAnsi="宋体" w:eastAsia="宋体" w:cs="宋体"/>
          <w:color w:val="auto"/>
          <w:sz w:val="24"/>
          <w:szCs w:val="21"/>
          <w:highlight w:val="none"/>
          <w:u w:val="single" w:color="000000"/>
        </w:rPr>
        <w:t>：</w:t>
      </w:r>
    </w:p>
    <w:p>
      <w:pPr>
        <w:snapToGrid w:val="0"/>
        <w:spacing w:line="500" w:lineRule="exact"/>
        <w:ind w:firstLine="66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本公司愿就由贵单位组织实施的</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（招标项目名称)招标活动进行投标。</w:t>
      </w:r>
    </w:p>
    <w:p>
      <w:pPr>
        <w:snapToGrid w:val="0"/>
        <w:spacing w:line="500" w:lineRule="exact"/>
        <w:ind w:firstLine="660"/>
        <w:jc w:val="left"/>
        <w:rPr>
          <w:rStyle w:val="39"/>
          <w:rFonts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本公司具有独立承担民事责任的能力；具有良好的商业信誉和健全的财务会计制度；具有履行合同所必需的设备和专业技术能力；有依法缴纳税收和社会保障资金的良好记录；参加</w:t>
      </w:r>
      <w:r>
        <w:rPr>
          <w:rStyle w:val="39"/>
          <w:rFonts w:hint="eastAsia" w:ascii="宋体" w:hAnsi="宋体" w:eastAsia="宋体" w:cs="宋体"/>
          <w:color w:val="auto"/>
          <w:sz w:val="24"/>
          <w:szCs w:val="21"/>
          <w:highlight w:val="none"/>
          <w:lang w:eastAsia="zh-CN"/>
        </w:rPr>
        <w:t>采购活动</w:t>
      </w:r>
      <w:r>
        <w:rPr>
          <w:rStyle w:val="39"/>
          <w:rFonts w:hint="eastAsia" w:ascii="宋体" w:hAnsi="宋体" w:eastAsia="宋体" w:cs="宋体"/>
          <w:color w:val="auto"/>
          <w:sz w:val="24"/>
          <w:szCs w:val="21"/>
          <w:highlight w:val="none"/>
        </w:rPr>
        <w:t>前三年内，在经营活动中没有重大违法记录</w:t>
      </w:r>
    </w:p>
    <w:p>
      <w:pPr>
        <w:snapToGrid w:val="0"/>
        <w:spacing w:line="500" w:lineRule="exact"/>
        <w:ind w:firstLine="480" w:firstLineChars="20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本公司所提交的投标文件中所有关于投标资格的文件、证明和陈述均是真实的、准确的。若与真实情况不符，本公司愿意承担由此而产生的一切后果。</w:t>
      </w:r>
    </w:p>
    <w:p>
      <w:pPr>
        <w:snapToGrid w:val="0"/>
        <w:spacing w:line="500" w:lineRule="exact"/>
        <w:ind w:firstLine="420"/>
        <w:jc w:val="left"/>
        <w:rPr>
          <w:rStyle w:val="39"/>
          <w:rFonts w:hint="eastAsia" w:ascii="宋体" w:hAnsi="宋体" w:eastAsia="宋体" w:cs="宋体"/>
          <w:color w:val="auto"/>
          <w:sz w:val="24"/>
          <w:szCs w:val="21"/>
          <w:highlight w:val="none"/>
        </w:rPr>
      </w:pPr>
    </w:p>
    <w:p>
      <w:pPr>
        <w:snapToGrid w:val="0"/>
        <w:spacing w:line="500" w:lineRule="exact"/>
        <w:ind w:firstLine="420"/>
        <w:jc w:val="left"/>
        <w:rPr>
          <w:rStyle w:val="39"/>
          <w:rFonts w:hint="eastAsia" w:ascii="宋体" w:hAnsi="宋体" w:eastAsia="宋体" w:cs="宋体"/>
          <w:color w:val="auto"/>
          <w:sz w:val="24"/>
          <w:szCs w:val="21"/>
          <w:highlight w:val="none"/>
        </w:rPr>
      </w:pPr>
    </w:p>
    <w:p>
      <w:pPr>
        <w:snapToGrid w:val="0"/>
        <w:spacing w:line="500" w:lineRule="exact"/>
        <w:ind w:firstLine="42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w:t>
      </w:r>
      <w:r>
        <w:rPr>
          <w:rStyle w:val="39"/>
          <w:rFonts w:hint="eastAsia" w:ascii="宋体" w:hAnsi="宋体" w:eastAsia="宋体" w:cs="宋体"/>
          <w:color w:val="auto"/>
          <w:sz w:val="24"/>
          <w:szCs w:val="21"/>
          <w:highlight w:val="none"/>
        </w:rPr>
        <w:tab/>
      </w:r>
      <w:r>
        <w:rPr>
          <w:rStyle w:val="39"/>
          <w:rFonts w:hint="eastAsia" w:ascii="宋体" w:hAnsi="宋体" w:eastAsia="宋体" w:cs="宋体"/>
          <w:color w:val="auto"/>
          <w:sz w:val="24"/>
          <w:szCs w:val="21"/>
          <w:highlight w:val="none"/>
        </w:rPr>
        <w:tab/>
      </w:r>
      <w:r>
        <w:rPr>
          <w:rStyle w:val="39"/>
          <w:rFonts w:hint="eastAsia" w:ascii="宋体" w:hAnsi="宋体" w:eastAsia="宋体" w:cs="宋体"/>
          <w:color w:val="auto"/>
          <w:sz w:val="24"/>
          <w:szCs w:val="21"/>
          <w:highlight w:val="none"/>
        </w:rPr>
        <w:tab/>
      </w:r>
      <w:r>
        <w:rPr>
          <w:rStyle w:val="39"/>
          <w:rFonts w:hint="eastAsia" w:ascii="宋体" w:hAnsi="宋体" w:eastAsia="宋体" w:cs="宋体"/>
          <w:color w:val="auto"/>
          <w:sz w:val="24"/>
          <w:szCs w:val="21"/>
          <w:highlight w:val="none"/>
        </w:rPr>
        <w:tab/>
      </w:r>
      <w:r>
        <w:rPr>
          <w:rStyle w:val="39"/>
          <w:rFonts w:hint="eastAsia" w:ascii="宋体" w:hAnsi="宋体" w:eastAsia="宋体" w:cs="宋体"/>
          <w:color w:val="auto"/>
          <w:sz w:val="24"/>
          <w:szCs w:val="21"/>
          <w:highlight w:val="none"/>
        </w:rPr>
        <w:t xml:space="preserve">               （投标供应商）法定代表人（签字或盖章）：</w:t>
      </w:r>
    </w:p>
    <w:p>
      <w:pPr>
        <w:snapToGrid w:val="0"/>
        <w:spacing w:line="500" w:lineRule="exact"/>
        <w:ind w:left="1700" w:firstLine="425"/>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（投标供应商）公章：</w:t>
      </w:r>
    </w:p>
    <w:p>
      <w:pPr>
        <w:snapToGrid w:val="0"/>
        <w:spacing w:line="500" w:lineRule="exact"/>
        <w:ind w:firstLine="420"/>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年</w:t>
      </w:r>
      <w:r>
        <w:rPr>
          <w:rStyle w:val="39"/>
          <w:rFonts w:hint="eastAsia" w:ascii="宋体" w:hAnsi="宋体" w:eastAsia="宋体" w:cs="宋体"/>
          <w:color w:val="auto"/>
          <w:sz w:val="24"/>
          <w:szCs w:val="21"/>
          <w:highlight w:val="none"/>
        </w:rPr>
        <w:tab/>
      </w:r>
      <w:r>
        <w:rPr>
          <w:rStyle w:val="39"/>
          <w:rFonts w:hint="eastAsia" w:ascii="宋体" w:hAnsi="宋体" w:eastAsia="宋体" w:cs="宋体"/>
          <w:color w:val="auto"/>
          <w:sz w:val="24"/>
          <w:szCs w:val="21"/>
          <w:highlight w:val="none"/>
        </w:rPr>
        <w:t xml:space="preserve">   月 </w:t>
      </w:r>
      <w:r>
        <w:rPr>
          <w:rStyle w:val="39"/>
          <w:rFonts w:hint="eastAsia" w:ascii="宋体" w:hAnsi="宋体" w:eastAsia="宋体" w:cs="宋体"/>
          <w:color w:val="auto"/>
          <w:sz w:val="24"/>
          <w:szCs w:val="21"/>
          <w:highlight w:val="none"/>
        </w:rPr>
        <w:tab/>
      </w:r>
      <w:r>
        <w:rPr>
          <w:rStyle w:val="39"/>
          <w:rFonts w:hint="eastAsia" w:ascii="宋体" w:hAnsi="宋体" w:eastAsia="宋体" w:cs="宋体"/>
          <w:color w:val="auto"/>
          <w:sz w:val="24"/>
          <w:szCs w:val="21"/>
          <w:highlight w:val="none"/>
        </w:rPr>
        <w:t xml:space="preserve">  日</w:t>
      </w:r>
    </w:p>
    <w:p>
      <w:pPr>
        <w:snapToGrid w:val="0"/>
        <w:spacing w:line="440" w:lineRule="exact"/>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rPr>
        <w:br w:type="textWrapping"/>
      </w:r>
    </w:p>
    <w:p>
      <w:pPr>
        <w:snapToGrid w:val="0"/>
        <w:spacing w:line="440" w:lineRule="exact"/>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rPr>
        <w:br w:type="page"/>
      </w:r>
      <w:r>
        <w:rPr>
          <w:rStyle w:val="39"/>
          <w:rFonts w:hint="eastAsia" w:ascii="宋体" w:hAnsi="宋体" w:eastAsia="宋体" w:cs="宋体"/>
          <w:b/>
          <w:bCs/>
          <w:color w:val="auto"/>
          <w:sz w:val="24"/>
          <w:szCs w:val="21"/>
          <w:highlight w:val="none"/>
        </w:rPr>
        <w:t>B</w:t>
      </w:r>
      <w:r>
        <w:rPr>
          <w:rStyle w:val="39"/>
          <w:rFonts w:hint="eastAsia" w:ascii="宋体" w:hAnsi="宋体" w:eastAsia="宋体" w:cs="宋体"/>
          <w:b/>
          <w:bCs/>
          <w:color w:val="auto"/>
          <w:sz w:val="24"/>
          <w:szCs w:val="21"/>
          <w:highlight w:val="none"/>
          <w:lang w:val="en-US" w:eastAsia="zh-CN"/>
        </w:rPr>
        <w:t>商务</w:t>
      </w:r>
      <w:r>
        <w:rPr>
          <w:rStyle w:val="39"/>
          <w:rFonts w:hint="eastAsia" w:ascii="宋体" w:hAnsi="宋体" w:eastAsia="宋体" w:cs="宋体"/>
          <w:b/>
          <w:bCs/>
          <w:color w:val="auto"/>
          <w:sz w:val="24"/>
          <w:szCs w:val="21"/>
          <w:highlight w:val="none"/>
        </w:rPr>
        <w:t>技术</w:t>
      </w:r>
      <w:r>
        <w:rPr>
          <w:rStyle w:val="39"/>
          <w:rFonts w:hint="eastAsia" w:ascii="宋体" w:hAnsi="宋体" w:eastAsia="宋体" w:cs="宋体"/>
          <w:b/>
          <w:bCs/>
          <w:color w:val="auto"/>
          <w:sz w:val="24"/>
          <w:szCs w:val="21"/>
          <w:highlight w:val="none"/>
          <w:lang w:val="en-US" w:eastAsia="zh-CN"/>
        </w:rPr>
        <w:t>文件</w:t>
      </w:r>
      <w:r>
        <w:rPr>
          <w:rStyle w:val="39"/>
          <w:rFonts w:hint="eastAsia" w:ascii="宋体" w:hAnsi="宋体" w:eastAsia="宋体" w:cs="宋体"/>
          <w:b/>
          <w:bCs/>
          <w:color w:val="auto"/>
          <w:sz w:val="24"/>
          <w:szCs w:val="21"/>
          <w:highlight w:val="none"/>
        </w:rPr>
        <w:t>（单独密封）</w:t>
      </w:r>
    </w:p>
    <w:p>
      <w:pPr>
        <w:snapToGrid w:val="0"/>
        <w:spacing w:line="440" w:lineRule="exact"/>
        <w:jc w:val="center"/>
        <w:rPr>
          <w:rStyle w:val="39"/>
          <w:rFonts w:hint="eastAsia" w:ascii="宋体" w:hAnsi="宋体" w:eastAsia="宋体" w:cs="宋体"/>
          <w:b/>
          <w:bCs/>
          <w:color w:val="auto"/>
          <w:sz w:val="24"/>
          <w:szCs w:val="21"/>
          <w:highlight w:val="none"/>
          <w:lang w:eastAsia="zh-CN"/>
        </w:rPr>
      </w:pPr>
    </w:p>
    <w:p>
      <w:pPr>
        <w:snapToGrid w:val="0"/>
        <w:spacing w:line="440" w:lineRule="exact"/>
        <w:jc w:val="center"/>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lang w:eastAsia="zh-CN"/>
        </w:rPr>
        <w:t>1.</w:t>
      </w:r>
      <w:r>
        <w:rPr>
          <w:rStyle w:val="39"/>
          <w:rFonts w:hint="eastAsia" w:ascii="宋体" w:hAnsi="宋体" w:eastAsia="宋体" w:cs="宋体"/>
          <w:b/>
          <w:bCs/>
          <w:color w:val="auto"/>
          <w:sz w:val="24"/>
          <w:szCs w:val="21"/>
          <w:highlight w:val="none"/>
        </w:rPr>
        <w:t>投标响应函（</w:t>
      </w:r>
      <w:r>
        <w:rPr>
          <w:rStyle w:val="39"/>
          <w:rFonts w:hint="eastAsia" w:ascii="宋体" w:hAnsi="宋体" w:eastAsia="宋体" w:cs="宋体"/>
          <w:b/>
          <w:bCs/>
          <w:color w:val="auto"/>
          <w:sz w:val="24"/>
          <w:szCs w:val="21"/>
          <w:highlight w:val="none"/>
          <w:u w:val="single" w:color="000000"/>
        </w:rPr>
        <w:t>格式不得变动</w:t>
      </w:r>
      <w:r>
        <w:rPr>
          <w:rStyle w:val="39"/>
          <w:rFonts w:hint="eastAsia" w:ascii="宋体" w:hAnsi="宋体" w:eastAsia="宋体" w:cs="宋体"/>
          <w:b/>
          <w:bCs/>
          <w:color w:val="auto"/>
          <w:sz w:val="24"/>
          <w:szCs w:val="21"/>
          <w:highlight w:val="none"/>
        </w:rPr>
        <w:t>）</w:t>
      </w:r>
    </w:p>
    <w:p>
      <w:pPr>
        <w:snapToGrid w:val="0"/>
        <w:spacing w:line="440" w:lineRule="exact"/>
        <w:jc w:val="left"/>
        <w:rPr>
          <w:rStyle w:val="39"/>
          <w:rFonts w:hint="eastAsia" w:ascii="宋体" w:hAnsi="宋体" w:eastAsia="宋体" w:cs="宋体"/>
          <w:color w:val="auto"/>
          <w:sz w:val="24"/>
          <w:szCs w:val="21"/>
          <w:highlight w:val="none"/>
          <w:u w:val="single" w:color="000000"/>
          <w:lang w:eastAsia="zh-CN"/>
        </w:rPr>
      </w:pPr>
    </w:p>
    <w:p>
      <w:pPr>
        <w:snapToGrid w:val="0"/>
        <w:spacing w:line="440" w:lineRule="exact"/>
        <w:jc w:val="lef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u w:val="single" w:color="000000"/>
          <w:lang w:eastAsia="zh-CN"/>
        </w:rPr>
        <w:t>南通博物苑</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w:t>
      </w:r>
    </w:p>
    <w:p>
      <w:pPr>
        <w:snapToGrid w:val="0"/>
        <w:spacing w:line="44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依据贵单位</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（招标项目名称)项目公开招标采购的邀请，我方授权</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（姓名）</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（职务）为全权代表参加该项目的投标工作，全权处理本次投标的有关事宜。同时，我公司声明如下：</w:t>
      </w:r>
    </w:p>
    <w:p>
      <w:pPr>
        <w:snapToGrid w:val="0"/>
        <w:spacing w:line="44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val="en-US" w:eastAsia="zh-CN"/>
        </w:rPr>
        <w:t>1.</w:t>
      </w:r>
      <w:r>
        <w:rPr>
          <w:rStyle w:val="39"/>
          <w:rFonts w:hint="eastAsia" w:ascii="宋体" w:hAnsi="宋体" w:eastAsia="宋体" w:cs="宋体"/>
          <w:color w:val="auto"/>
          <w:sz w:val="24"/>
          <w:szCs w:val="21"/>
          <w:highlight w:val="none"/>
        </w:rPr>
        <w:t>我方愿意按照招标文件的一切要求，提供完成该项目的全部内容，按</w:t>
      </w:r>
      <w:r>
        <w:rPr>
          <w:rStyle w:val="39"/>
          <w:rFonts w:hint="eastAsia" w:ascii="宋体" w:hAnsi="宋体" w:eastAsia="宋体" w:cs="宋体"/>
          <w:color w:val="auto"/>
          <w:sz w:val="24"/>
          <w:szCs w:val="21"/>
          <w:highlight w:val="none"/>
          <w:lang w:val="en-US" w:eastAsia="zh-CN"/>
        </w:rPr>
        <w:t>公开招标</w:t>
      </w:r>
      <w:r>
        <w:rPr>
          <w:rStyle w:val="39"/>
          <w:rFonts w:hint="eastAsia" w:ascii="宋体" w:hAnsi="宋体" w:eastAsia="宋体" w:cs="宋体"/>
          <w:color w:val="auto"/>
          <w:sz w:val="24"/>
          <w:szCs w:val="21"/>
          <w:highlight w:val="none"/>
        </w:rPr>
        <w:t>文件的要求提供报价。</w:t>
      </w:r>
    </w:p>
    <w:p>
      <w:pPr>
        <w:snapToGrid w:val="0"/>
        <w:spacing w:line="44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2.</w:t>
      </w:r>
      <w:r>
        <w:rPr>
          <w:rStyle w:val="39"/>
          <w:rFonts w:hint="eastAsia" w:ascii="宋体" w:hAnsi="宋体" w:eastAsia="宋体" w:cs="宋体"/>
          <w:color w:val="auto"/>
          <w:sz w:val="24"/>
          <w:szCs w:val="21"/>
          <w:highlight w:val="none"/>
        </w:rPr>
        <w:t>我方已经详细审查了全部招标文件，我方已完全清晰理解招标文件的要求，不存在任何含糊不清和误解之处，同意放弃对这些文件所提出的异议和质疑的权利。</w:t>
      </w:r>
    </w:p>
    <w:p>
      <w:pPr>
        <w:snapToGrid w:val="0"/>
        <w:spacing w:line="44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3.</w:t>
      </w:r>
      <w:r>
        <w:rPr>
          <w:rStyle w:val="39"/>
          <w:rFonts w:hint="eastAsia" w:ascii="宋体" w:hAnsi="宋体" w:eastAsia="宋体" w:cs="宋体"/>
          <w:color w:val="auto"/>
          <w:sz w:val="24"/>
          <w:szCs w:val="21"/>
          <w:highlight w:val="none"/>
        </w:rPr>
        <w:t>我方愿意提供采购人在招标文件中要求的所有资料。</w:t>
      </w:r>
    </w:p>
    <w:p>
      <w:pPr>
        <w:snapToGrid w:val="0"/>
        <w:spacing w:line="44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4.</w:t>
      </w:r>
      <w:r>
        <w:rPr>
          <w:rStyle w:val="39"/>
          <w:rFonts w:hint="eastAsia" w:ascii="宋体" w:hAnsi="宋体" w:eastAsia="宋体" w:cs="宋体"/>
          <w:color w:val="auto"/>
          <w:sz w:val="24"/>
          <w:szCs w:val="21"/>
          <w:highlight w:val="none"/>
        </w:rPr>
        <w:t>我方承诺在本次招标响应中提供的一切文件，无论是原件还是复印件均真实有效，绝无任何虚假、伪造和夸大的成份。否则，愿承担相应的后果和法律责任。</w:t>
      </w:r>
    </w:p>
    <w:p>
      <w:pPr>
        <w:snapToGrid w:val="0"/>
        <w:spacing w:line="44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5.</w:t>
      </w:r>
      <w:r>
        <w:rPr>
          <w:rStyle w:val="39"/>
          <w:rFonts w:hint="eastAsia" w:ascii="宋体" w:hAnsi="宋体" w:eastAsia="宋体" w:cs="宋体"/>
          <w:color w:val="auto"/>
          <w:sz w:val="24"/>
          <w:szCs w:val="21"/>
          <w:highlight w:val="none"/>
        </w:rPr>
        <w:t>我方尊重评标小组所作的评定结果，同时也清楚理解到投标报价最低并非意味着必定获得中标资格。</w:t>
      </w:r>
    </w:p>
    <w:p>
      <w:pPr>
        <w:snapToGrid w:val="0"/>
        <w:spacing w:line="440" w:lineRule="exact"/>
        <w:ind w:firstLine="480" w:firstLineChars="200"/>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lang w:eastAsia="zh-CN"/>
        </w:rPr>
        <w:t>6.</w:t>
      </w:r>
      <w:r>
        <w:rPr>
          <w:rStyle w:val="39"/>
          <w:rFonts w:hint="eastAsia" w:ascii="宋体" w:hAnsi="宋体" w:eastAsia="宋体" w:cs="宋体"/>
          <w:color w:val="auto"/>
          <w:sz w:val="24"/>
          <w:szCs w:val="21"/>
          <w:highlight w:val="none"/>
        </w:rPr>
        <w:t xml:space="preserve">一旦我方中标，我方将根据招标文件的规定，严格履行招标文件中规定的每一项要求，按期、按质、按量履行合同的义务。 </w:t>
      </w:r>
    </w:p>
    <w:p>
      <w:pPr>
        <w:snapToGrid w:val="0"/>
        <w:spacing w:line="440" w:lineRule="exact"/>
        <w:ind w:firstLine="2400" w:firstLineChars="1000"/>
        <w:jc w:val="right"/>
        <w:rPr>
          <w:rStyle w:val="39"/>
          <w:rFonts w:hint="eastAsia" w:ascii="宋体" w:hAnsi="宋体" w:eastAsia="宋体" w:cs="宋体"/>
          <w:color w:val="auto"/>
          <w:sz w:val="24"/>
          <w:szCs w:val="21"/>
          <w:highlight w:val="none"/>
        </w:rPr>
      </w:pPr>
    </w:p>
    <w:p>
      <w:pPr>
        <w:snapToGrid w:val="0"/>
        <w:spacing w:line="440" w:lineRule="exact"/>
        <w:ind w:firstLine="2400" w:firstLineChars="1000"/>
        <w:jc w:val="center"/>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         投标供应商：</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（加盖公章）</w:t>
      </w:r>
    </w:p>
    <w:p>
      <w:pPr>
        <w:snapToGrid w:val="0"/>
        <w:spacing w:line="440" w:lineRule="exact"/>
        <w:ind w:firstLine="2400" w:firstLineChars="1000"/>
        <w:jc w:val="righ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法定代表人或被授权人：</w:t>
      </w:r>
      <w:r>
        <w:rPr>
          <w:rStyle w:val="39"/>
          <w:rFonts w:hint="eastAsia" w:ascii="宋体" w:hAnsi="宋体" w:eastAsia="宋体" w:cs="宋体"/>
          <w:color w:val="auto"/>
          <w:sz w:val="24"/>
          <w:szCs w:val="21"/>
          <w:highlight w:val="none"/>
          <w:u w:val="single" w:color="000000"/>
        </w:rPr>
        <w:t xml:space="preserve">         </w:t>
      </w:r>
      <w:r>
        <w:rPr>
          <w:rStyle w:val="39"/>
          <w:rFonts w:hint="eastAsia" w:ascii="宋体" w:hAnsi="宋体" w:eastAsia="宋体" w:cs="宋体"/>
          <w:color w:val="auto"/>
          <w:sz w:val="24"/>
          <w:szCs w:val="21"/>
          <w:highlight w:val="none"/>
        </w:rPr>
        <w:t>（签字或盖章）</w:t>
      </w:r>
    </w:p>
    <w:p>
      <w:pPr>
        <w:snapToGrid w:val="0"/>
        <w:spacing w:line="440" w:lineRule="exact"/>
        <w:jc w:val="right"/>
        <w:rPr>
          <w:rStyle w:val="39"/>
          <w:rFonts w:hint="eastAsia" w:ascii="宋体" w:hAnsi="宋体" w:eastAsia="宋体" w:cs="宋体"/>
          <w:b/>
          <w:bCs/>
          <w:color w:val="auto"/>
          <w:sz w:val="24"/>
          <w:szCs w:val="21"/>
          <w:highlight w:val="none"/>
        </w:rPr>
      </w:pPr>
      <w:r>
        <w:rPr>
          <w:rStyle w:val="39"/>
          <w:rFonts w:hint="eastAsia" w:ascii="宋体" w:hAnsi="宋体" w:eastAsia="宋体" w:cs="宋体"/>
          <w:color w:val="auto"/>
          <w:sz w:val="24"/>
          <w:szCs w:val="21"/>
          <w:highlight w:val="none"/>
        </w:rPr>
        <w:t>年      月     日</w:t>
      </w:r>
    </w:p>
    <w:p>
      <w:pPr>
        <w:snapToGrid w:val="0"/>
        <w:spacing w:after="120" w:line="440" w:lineRule="exact"/>
        <w:jc w:val="center"/>
        <w:rPr>
          <w:rStyle w:val="39"/>
          <w:rFonts w:hint="eastAsia" w:ascii="宋体" w:hAnsi="宋体" w:eastAsia="宋体" w:cs="宋体"/>
          <w:color w:val="auto"/>
          <w:sz w:val="24"/>
          <w:szCs w:val="21"/>
          <w:highlight w:val="none"/>
        </w:rPr>
      </w:pPr>
    </w:p>
    <w:p>
      <w:pPr>
        <w:snapToGrid w:val="0"/>
        <w:spacing w:after="120" w:line="440" w:lineRule="exact"/>
        <w:jc w:val="center"/>
        <w:rPr>
          <w:rStyle w:val="39"/>
          <w:rFonts w:hint="eastAsia" w:ascii="宋体" w:hAnsi="宋体" w:eastAsia="宋体" w:cs="宋体"/>
          <w:b/>
          <w:bCs/>
          <w:color w:val="auto"/>
          <w:szCs w:val="21"/>
          <w:highlight w:val="none"/>
          <w:lang w:val="zh-CN"/>
        </w:rPr>
      </w:pPr>
      <w:r>
        <w:rPr>
          <w:rStyle w:val="39"/>
          <w:rFonts w:hint="eastAsia" w:ascii="宋体" w:hAnsi="宋体" w:eastAsia="宋体" w:cs="宋体"/>
          <w:b/>
          <w:bCs/>
          <w:color w:val="auto"/>
          <w:sz w:val="24"/>
          <w:szCs w:val="21"/>
          <w:highlight w:val="none"/>
        </w:rPr>
        <w:br w:type="page"/>
      </w:r>
      <w:r>
        <w:rPr>
          <w:rStyle w:val="39"/>
          <w:rFonts w:hint="eastAsia" w:ascii="宋体" w:hAnsi="宋体" w:eastAsia="宋体" w:cs="宋体"/>
          <w:b/>
          <w:bCs/>
          <w:color w:val="auto"/>
          <w:szCs w:val="21"/>
          <w:highlight w:val="none"/>
          <w:lang w:eastAsia="zh-CN"/>
        </w:rPr>
        <w:t>2.</w:t>
      </w:r>
      <w:r>
        <w:rPr>
          <w:rStyle w:val="39"/>
          <w:rFonts w:hint="eastAsia" w:ascii="宋体" w:hAnsi="宋体" w:eastAsia="宋体" w:cs="宋体"/>
          <w:b/>
          <w:bCs/>
          <w:color w:val="auto"/>
          <w:szCs w:val="21"/>
          <w:highlight w:val="none"/>
          <w:lang w:val="en-US" w:eastAsia="zh-CN"/>
        </w:rPr>
        <w:t>商务</w:t>
      </w:r>
      <w:r>
        <w:rPr>
          <w:rStyle w:val="39"/>
          <w:rFonts w:hint="eastAsia" w:ascii="宋体" w:hAnsi="宋体" w:eastAsia="宋体" w:cs="宋体"/>
          <w:b/>
          <w:bCs/>
          <w:color w:val="auto"/>
          <w:szCs w:val="21"/>
          <w:highlight w:val="none"/>
        </w:rPr>
        <w:t>技术条款响应一览表</w:t>
      </w:r>
    </w:p>
    <w:p>
      <w:pPr>
        <w:snapToGrid w:val="0"/>
        <w:spacing w:after="120" w:line="440" w:lineRule="exact"/>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rPr>
        <w:t>项目名称：</w:t>
      </w:r>
    </w:p>
    <w:tbl>
      <w:tblPr>
        <w:tblStyle w:val="20"/>
        <w:tblW w:w="9035"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358"/>
        <w:gridCol w:w="3987"/>
        <w:gridCol w:w="1954"/>
        <w:gridCol w:w="1736"/>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358" w:type="dxa"/>
            <w:tcBorders>
              <w:top w:val="single" w:color="000000" w:sz="6" w:space="0"/>
              <w:left w:val="single" w:color="000000" w:sz="6" w:space="0"/>
              <w:bottom w:val="single" w:color="000000" w:sz="4" w:space="0"/>
              <w:right w:val="single" w:color="000000" w:sz="4" w:space="0"/>
            </w:tcBorders>
            <w:vAlign w:val="center"/>
          </w:tcPr>
          <w:p>
            <w:pPr>
              <w:snapToGrid w:val="0"/>
              <w:spacing w:line="440" w:lineRule="exact"/>
              <w:jc w:val="center"/>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rPr>
              <w:t>序号</w:t>
            </w:r>
          </w:p>
        </w:tc>
        <w:tc>
          <w:tcPr>
            <w:tcW w:w="3987" w:type="dxa"/>
            <w:tcBorders>
              <w:top w:val="single" w:color="000000" w:sz="6" w:space="0"/>
              <w:left w:val="single" w:color="000000" w:sz="4" w:space="0"/>
              <w:bottom w:val="single" w:color="000000" w:sz="4" w:space="0"/>
              <w:right w:val="single" w:color="000000" w:sz="4" w:space="0"/>
            </w:tcBorders>
            <w:vAlign w:val="center"/>
          </w:tcPr>
          <w:p>
            <w:pPr>
              <w:snapToGrid w:val="0"/>
              <w:spacing w:line="440" w:lineRule="exact"/>
              <w:jc w:val="center"/>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rPr>
              <w:t>招标文件的项目需求</w:t>
            </w:r>
          </w:p>
        </w:tc>
        <w:tc>
          <w:tcPr>
            <w:tcW w:w="1954" w:type="dxa"/>
            <w:tcBorders>
              <w:top w:val="single" w:color="000000" w:sz="6" w:space="0"/>
              <w:left w:val="single" w:color="000000" w:sz="4" w:space="0"/>
              <w:bottom w:val="single" w:color="000000" w:sz="4" w:space="0"/>
              <w:right w:val="single" w:color="000000" w:sz="4" w:space="0"/>
            </w:tcBorders>
            <w:vAlign w:val="center"/>
          </w:tcPr>
          <w:p>
            <w:pPr>
              <w:snapToGrid w:val="0"/>
              <w:spacing w:line="440" w:lineRule="exact"/>
              <w:jc w:val="center"/>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rPr>
              <w:t>投标文件偏离情况</w:t>
            </w:r>
          </w:p>
        </w:tc>
        <w:tc>
          <w:tcPr>
            <w:tcW w:w="1736" w:type="dxa"/>
            <w:tcBorders>
              <w:top w:val="single" w:color="000000" w:sz="6" w:space="0"/>
              <w:left w:val="single" w:color="000000" w:sz="4" w:space="0"/>
              <w:bottom w:val="single" w:color="000000" w:sz="4" w:space="0"/>
              <w:right w:val="single" w:color="000000" w:sz="6" w:space="0"/>
            </w:tcBorders>
            <w:vAlign w:val="center"/>
          </w:tcPr>
          <w:p>
            <w:pPr>
              <w:snapToGrid w:val="0"/>
              <w:spacing w:line="440" w:lineRule="exact"/>
              <w:jc w:val="center"/>
              <w:rPr>
                <w:rStyle w:val="39"/>
                <w:rFonts w:hint="eastAsia" w:ascii="宋体" w:hAnsi="宋体" w:eastAsia="宋体" w:cs="宋体"/>
                <w:color w:val="auto"/>
                <w:szCs w:val="21"/>
                <w:highlight w:val="none"/>
              </w:rPr>
            </w:pPr>
            <w:r>
              <w:rPr>
                <w:rStyle w:val="39"/>
                <w:rFonts w:hint="eastAsia" w:ascii="宋体" w:hAnsi="宋体" w:eastAsia="宋体" w:cs="宋体"/>
                <w:color w:val="auto"/>
                <w:szCs w:val="21"/>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358" w:type="dxa"/>
            <w:tcBorders>
              <w:top w:val="single" w:color="000000" w:sz="4" w:space="0"/>
              <w:left w:val="single" w:color="000000" w:sz="6"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3987"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954"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736" w:type="dxa"/>
            <w:tcBorders>
              <w:top w:val="single" w:color="000000" w:sz="4" w:space="0"/>
              <w:left w:val="single" w:color="000000" w:sz="4" w:space="0"/>
              <w:bottom w:val="single" w:color="000000" w:sz="4" w:space="0"/>
              <w:right w:val="single" w:color="000000" w:sz="6" w:space="0"/>
            </w:tcBorders>
            <w:vAlign w:val="center"/>
          </w:tcPr>
          <w:p>
            <w:pPr>
              <w:snapToGrid w:val="0"/>
              <w:spacing w:before="108" w:after="108"/>
              <w:rPr>
                <w:rStyle w:val="39"/>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358" w:type="dxa"/>
            <w:tcBorders>
              <w:top w:val="single" w:color="000000" w:sz="4" w:space="0"/>
              <w:left w:val="single" w:color="000000" w:sz="6"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3987"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954"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736" w:type="dxa"/>
            <w:tcBorders>
              <w:top w:val="single" w:color="000000" w:sz="4" w:space="0"/>
              <w:left w:val="single" w:color="000000" w:sz="4" w:space="0"/>
              <w:bottom w:val="single" w:color="000000" w:sz="4" w:space="0"/>
              <w:right w:val="single" w:color="000000" w:sz="6" w:space="0"/>
            </w:tcBorders>
            <w:vAlign w:val="center"/>
          </w:tcPr>
          <w:p>
            <w:pPr>
              <w:snapToGrid w:val="0"/>
              <w:spacing w:before="108" w:after="108"/>
              <w:rPr>
                <w:rStyle w:val="39"/>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1358" w:type="dxa"/>
            <w:tcBorders>
              <w:top w:val="single" w:color="000000" w:sz="4" w:space="0"/>
              <w:left w:val="single" w:color="000000" w:sz="6"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3987"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954"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736" w:type="dxa"/>
            <w:tcBorders>
              <w:top w:val="single" w:color="000000" w:sz="4" w:space="0"/>
              <w:left w:val="single" w:color="000000" w:sz="4" w:space="0"/>
              <w:bottom w:val="single" w:color="000000" w:sz="4" w:space="0"/>
              <w:right w:val="single" w:color="000000" w:sz="6" w:space="0"/>
            </w:tcBorders>
            <w:vAlign w:val="center"/>
          </w:tcPr>
          <w:p>
            <w:pPr>
              <w:snapToGrid w:val="0"/>
              <w:spacing w:before="108" w:after="108"/>
              <w:rPr>
                <w:rStyle w:val="39"/>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358" w:type="dxa"/>
            <w:tcBorders>
              <w:top w:val="single" w:color="000000" w:sz="4" w:space="0"/>
              <w:left w:val="single" w:color="000000" w:sz="6"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3987"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954"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736" w:type="dxa"/>
            <w:tcBorders>
              <w:top w:val="single" w:color="000000" w:sz="4" w:space="0"/>
              <w:left w:val="single" w:color="000000" w:sz="4" w:space="0"/>
              <w:bottom w:val="single" w:color="000000" w:sz="4" w:space="0"/>
              <w:right w:val="single" w:color="000000" w:sz="6" w:space="0"/>
            </w:tcBorders>
            <w:vAlign w:val="center"/>
          </w:tcPr>
          <w:p>
            <w:pPr>
              <w:snapToGrid w:val="0"/>
              <w:spacing w:before="108" w:after="108"/>
              <w:rPr>
                <w:rStyle w:val="39"/>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358" w:type="dxa"/>
            <w:tcBorders>
              <w:top w:val="single" w:color="000000" w:sz="4" w:space="0"/>
              <w:left w:val="single" w:color="000000" w:sz="6"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3987"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954" w:type="dxa"/>
            <w:tcBorders>
              <w:top w:val="single" w:color="000000" w:sz="4" w:space="0"/>
              <w:left w:val="single" w:color="000000" w:sz="4" w:space="0"/>
              <w:bottom w:val="single" w:color="000000" w:sz="4"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736" w:type="dxa"/>
            <w:tcBorders>
              <w:top w:val="single" w:color="000000" w:sz="4" w:space="0"/>
              <w:left w:val="single" w:color="000000" w:sz="4" w:space="0"/>
              <w:bottom w:val="single" w:color="000000" w:sz="4" w:space="0"/>
              <w:right w:val="single" w:color="000000" w:sz="6" w:space="0"/>
            </w:tcBorders>
            <w:vAlign w:val="center"/>
          </w:tcPr>
          <w:p>
            <w:pPr>
              <w:snapToGrid w:val="0"/>
              <w:spacing w:before="108" w:after="108"/>
              <w:rPr>
                <w:rStyle w:val="39"/>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jc w:val="center"/>
        </w:trPr>
        <w:tc>
          <w:tcPr>
            <w:tcW w:w="1358" w:type="dxa"/>
            <w:tcBorders>
              <w:top w:val="single" w:color="000000" w:sz="4" w:space="0"/>
              <w:left w:val="single" w:color="000000" w:sz="6" w:space="0"/>
              <w:bottom w:val="single" w:color="000000" w:sz="6"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3987" w:type="dxa"/>
            <w:tcBorders>
              <w:top w:val="single" w:color="000000" w:sz="4" w:space="0"/>
              <w:left w:val="single" w:color="000000" w:sz="4" w:space="0"/>
              <w:bottom w:val="single" w:color="000000" w:sz="6"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954" w:type="dxa"/>
            <w:tcBorders>
              <w:top w:val="single" w:color="000000" w:sz="4" w:space="0"/>
              <w:left w:val="single" w:color="000000" w:sz="4" w:space="0"/>
              <w:bottom w:val="single" w:color="000000" w:sz="6" w:space="0"/>
              <w:right w:val="single" w:color="000000" w:sz="4" w:space="0"/>
            </w:tcBorders>
            <w:vAlign w:val="center"/>
          </w:tcPr>
          <w:p>
            <w:pPr>
              <w:snapToGrid w:val="0"/>
              <w:spacing w:before="108" w:after="108"/>
              <w:rPr>
                <w:rStyle w:val="39"/>
                <w:rFonts w:hint="eastAsia" w:ascii="宋体" w:hAnsi="宋体" w:eastAsia="宋体" w:cs="宋体"/>
                <w:color w:val="auto"/>
                <w:szCs w:val="21"/>
                <w:highlight w:val="none"/>
              </w:rPr>
            </w:pPr>
          </w:p>
        </w:tc>
        <w:tc>
          <w:tcPr>
            <w:tcW w:w="1736" w:type="dxa"/>
            <w:tcBorders>
              <w:top w:val="single" w:color="000000" w:sz="4" w:space="0"/>
              <w:left w:val="single" w:color="000000" w:sz="4" w:space="0"/>
              <w:bottom w:val="single" w:color="000000" w:sz="6" w:space="0"/>
              <w:right w:val="single" w:color="000000" w:sz="6" w:space="0"/>
            </w:tcBorders>
            <w:vAlign w:val="center"/>
          </w:tcPr>
          <w:p>
            <w:pPr>
              <w:snapToGrid w:val="0"/>
              <w:spacing w:before="108" w:after="108"/>
              <w:rPr>
                <w:rStyle w:val="39"/>
                <w:rFonts w:hint="eastAsia" w:ascii="宋体" w:hAnsi="宋体" w:eastAsia="宋体" w:cs="宋体"/>
                <w:color w:val="auto"/>
                <w:szCs w:val="21"/>
                <w:highlight w:val="none"/>
              </w:rPr>
            </w:pPr>
          </w:p>
        </w:tc>
      </w:tr>
    </w:tbl>
    <w:p>
      <w:pPr>
        <w:tabs>
          <w:tab w:val="left" w:pos="318"/>
        </w:tabs>
        <w:snapToGrid w:val="0"/>
        <w:spacing w:line="400" w:lineRule="exact"/>
        <w:ind w:left="525" w:hanging="525"/>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注：</w:t>
      </w:r>
    </w:p>
    <w:p>
      <w:pPr>
        <w:numPr>
          <w:ilvl w:val="0"/>
          <w:numId w:val="7"/>
        </w:numPr>
        <w:tabs>
          <w:tab w:val="left" w:pos="318"/>
        </w:tabs>
        <w:snapToGrid w:val="0"/>
        <w:spacing w:line="276" w:lineRule="auto"/>
        <w:ind w:left="525" w:hanging="525"/>
        <w:jc w:val="left"/>
        <w:rPr>
          <w:rStyle w:val="39"/>
          <w:rFonts w:hint="eastAsia" w:ascii="宋体" w:hAnsi="宋体" w:eastAsia="宋体" w:cs="宋体"/>
          <w:bCs/>
          <w:color w:val="auto"/>
          <w:sz w:val="21"/>
          <w:szCs w:val="21"/>
          <w:highlight w:val="none"/>
          <w:lang w:val="zh-CN"/>
        </w:rPr>
      </w:pPr>
      <w:r>
        <w:rPr>
          <w:rStyle w:val="39"/>
          <w:rFonts w:hint="eastAsia" w:ascii="宋体" w:hAnsi="宋体" w:eastAsia="宋体" w:cs="宋体"/>
          <w:bCs/>
          <w:color w:val="auto"/>
          <w:sz w:val="21"/>
          <w:szCs w:val="21"/>
          <w:highlight w:val="none"/>
        </w:rPr>
        <w:t>投标供应商</w:t>
      </w:r>
      <w:r>
        <w:rPr>
          <w:rStyle w:val="39"/>
          <w:rFonts w:hint="eastAsia" w:ascii="宋体" w:hAnsi="宋体" w:eastAsia="宋体" w:cs="宋体"/>
          <w:color w:val="auto"/>
          <w:sz w:val="21"/>
          <w:szCs w:val="21"/>
          <w:highlight w:val="none"/>
        </w:rPr>
        <w:t>应对招标文件中的</w:t>
      </w:r>
      <w:r>
        <w:rPr>
          <w:rStyle w:val="39"/>
          <w:rFonts w:hint="eastAsia" w:ascii="宋体" w:hAnsi="宋体" w:eastAsia="宋体" w:cs="宋体"/>
          <w:b/>
          <w:bCs/>
          <w:color w:val="auto"/>
          <w:sz w:val="21"/>
          <w:szCs w:val="21"/>
          <w:highlight w:val="none"/>
        </w:rPr>
        <w:t>“第三章项目需求”</w:t>
      </w:r>
      <w:r>
        <w:rPr>
          <w:rStyle w:val="39"/>
          <w:rFonts w:hint="eastAsia" w:ascii="宋体" w:hAnsi="宋体" w:eastAsia="宋体" w:cs="宋体"/>
          <w:color w:val="auto"/>
          <w:sz w:val="21"/>
          <w:szCs w:val="21"/>
          <w:highlight w:val="none"/>
        </w:rPr>
        <w:t>进行偏离说明，填写</w:t>
      </w:r>
      <w:r>
        <w:rPr>
          <w:rStyle w:val="39"/>
          <w:rFonts w:hint="eastAsia" w:ascii="宋体" w:hAnsi="宋体" w:eastAsia="宋体" w:cs="宋体"/>
          <w:b/>
          <w:bCs/>
          <w:color w:val="auto"/>
          <w:sz w:val="21"/>
          <w:szCs w:val="21"/>
          <w:highlight w:val="none"/>
        </w:rPr>
        <w:t>技术条款响应一览表</w:t>
      </w:r>
      <w:r>
        <w:rPr>
          <w:rStyle w:val="39"/>
          <w:rFonts w:hint="eastAsia" w:ascii="宋体" w:hAnsi="宋体" w:eastAsia="宋体" w:cs="宋体"/>
          <w:b/>
          <w:color w:val="auto"/>
          <w:sz w:val="21"/>
          <w:szCs w:val="21"/>
          <w:highlight w:val="none"/>
        </w:rPr>
        <w:t>。</w:t>
      </w:r>
      <w:r>
        <w:rPr>
          <w:rStyle w:val="39"/>
          <w:rFonts w:hint="eastAsia" w:ascii="宋体" w:hAnsi="宋体" w:eastAsia="宋体" w:cs="宋体"/>
          <w:bCs/>
          <w:color w:val="auto"/>
          <w:sz w:val="21"/>
          <w:szCs w:val="21"/>
          <w:highlight w:val="none"/>
          <w:lang w:val="zh-CN"/>
        </w:rPr>
        <w:t>不完全响应的，必须在偏离表中列示；列示不全的，视同故意隐瞒。</w:t>
      </w:r>
    </w:p>
    <w:p>
      <w:pPr>
        <w:snapToGrid w:val="0"/>
        <w:spacing w:line="276" w:lineRule="auto"/>
        <w:ind w:left="525" w:hanging="525"/>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（2）偏离包括正、负偏离，正偏离指</w:t>
      </w:r>
      <w:r>
        <w:rPr>
          <w:rStyle w:val="39"/>
          <w:rFonts w:hint="eastAsia" w:ascii="宋体" w:hAnsi="宋体" w:eastAsia="宋体" w:cs="宋体"/>
          <w:bCs/>
          <w:color w:val="auto"/>
          <w:sz w:val="21"/>
          <w:szCs w:val="21"/>
          <w:highlight w:val="none"/>
        </w:rPr>
        <w:t>投标供应商</w:t>
      </w:r>
      <w:r>
        <w:rPr>
          <w:rStyle w:val="39"/>
          <w:rFonts w:hint="eastAsia" w:ascii="宋体" w:hAnsi="宋体" w:eastAsia="宋体" w:cs="宋体"/>
          <w:color w:val="auto"/>
          <w:sz w:val="21"/>
          <w:szCs w:val="21"/>
          <w:highlight w:val="none"/>
        </w:rPr>
        <w:t>的响应高于招标文件要求，负偏离指投标供应商的响应低于招标文件要求。如无偏离，请在表中填写</w:t>
      </w:r>
      <w:r>
        <w:rPr>
          <w:rStyle w:val="39"/>
          <w:rFonts w:hint="eastAsia" w:ascii="宋体" w:hAnsi="宋体" w:eastAsia="宋体" w:cs="宋体"/>
          <w:b/>
          <w:color w:val="auto"/>
          <w:sz w:val="21"/>
          <w:szCs w:val="21"/>
          <w:highlight w:val="none"/>
        </w:rPr>
        <w:t>“无偏离”或“全部满足要求”</w:t>
      </w:r>
      <w:r>
        <w:rPr>
          <w:rStyle w:val="39"/>
          <w:rFonts w:hint="eastAsia" w:ascii="宋体" w:hAnsi="宋体" w:eastAsia="宋体" w:cs="宋体"/>
          <w:color w:val="auto"/>
          <w:sz w:val="21"/>
          <w:szCs w:val="21"/>
          <w:highlight w:val="none"/>
        </w:rPr>
        <w:t>，即表明</w:t>
      </w:r>
      <w:r>
        <w:rPr>
          <w:rStyle w:val="39"/>
          <w:rFonts w:hint="eastAsia" w:ascii="宋体" w:hAnsi="宋体" w:eastAsia="宋体" w:cs="宋体"/>
          <w:bCs/>
          <w:color w:val="auto"/>
          <w:sz w:val="21"/>
          <w:szCs w:val="21"/>
          <w:highlight w:val="none"/>
        </w:rPr>
        <w:t>投标供应商</w:t>
      </w:r>
      <w:r>
        <w:rPr>
          <w:rStyle w:val="39"/>
          <w:rFonts w:hint="eastAsia" w:ascii="宋体" w:hAnsi="宋体" w:eastAsia="宋体" w:cs="宋体"/>
          <w:color w:val="auto"/>
          <w:sz w:val="21"/>
          <w:szCs w:val="21"/>
          <w:highlight w:val="none"/>
        </w:rPr>
        <w:t>接受招标文件中的所有条款。</w:t>
      </w:r>
    </w:p>
    <w:p>
      <w:pPr>
        <w:snapToGrid w:val="0"/>
        <w:spacing w:line="276" w:lineRule="auto"/>
        <w:ind w:left="525" w:hanging="525"/>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（3）此表所填内容为投标供应商根据项目需求偏离的所有内容，其他未填内容，均表明投标供应商满足招标文件的要求。</w:t>
      </w:r>
    </w:p>
    <w:p>
      <w:pPr>
        <w:snapToGrid w:val="0"/>
        <w:spacing w:line="276" w:lineRule="auto"/>
        <w:ind w:left="525" w:hanging="525"/>
        <w:rPr>
          <w:rStyle w:val="39"/>
          <w:rFonts w:hint="eastAsia" w:ascii="宋体" w:hAnsi="宋体" w:eastAsia="宋体" w:cs="宋体"/>
          <w:b/>
          <w:bCs/>
          <w:color w:val="auto"/>
          <w:sz w:val="21"/>
          <w:szCs w:val="21"/>
          <w:highlight w:val="none"/>
        </w:rPr>
      </w:pP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color w:val="auto"/>
          <w:sz w:val="21"/>
          <w:szCs w:val="21"/>
          <w:highlight w:val="none"/>
        </w:rPr>
        <w:t>4</w:t>
      </w:r>
      <w:r>
        <w:rPr>
          <w:rStyle w:val="39"/>
          <w:rFonts w:hint="eastAsia" w:ascii="宋体" w:hAnsi="宋体" w:eastAsia="宋体" w:cs="宋体"/>
          <w:color w:val="auto"/>
          <w:sz w:val="21"/>
          <w:szCs w:val="21"/>
          <w:highlight w:val="none"/>
          <w:lang w:eastAsia="zh-CN"/>
        </w:rPr>
        <w:t>）</w:t>
      </w:r>
      <w:r>
        <w:rPr>
          <w:rStyle w:val="39"/>
          <w:rFonts w:hint="eastAsia" w:ascii="宋体" w:hAnsi="宋体" w:eastAsia="宋体" w:cs="宋体"/>
          <w:b/>
          <w:bCs/>
          <w:color w:val="auto"/>
          <w:sz w:val="21"/>
          <w:szCs w:val="21"/>
          <w:highlight w:val="none"/>
        </w:rPr>
        <w:t>请提供相关证明材料佐证参数。</w:t>
      </w:r>
    </w:p>
    <w:p>
      <w:pPr>
        <w:snapToGrid w:val="0"/>
        <w:jc w:val="right"/>
        <w:rPr>
          <w:rStyle w:val="39"/>
          <w:rFonts w:hint="eastAsia" w:ascii="宋体" w:hAnsi="宋体" w:eastAsia="宋体" w:cs="宋体"/>
          <w:color w:val="auto"/>
          <w:szCs w:val="21"/>
          <w:highlight w:val="none"/>
        </w:rPr>
      </w:pPr>
    </w:p>
    <w:p>
      <w:pPr>
        <w:snapToGrid w:val="0"/>
        <w:spacing w:line="276" w:lineRule="auto"/>
        <w:ind w:left="525" w:hanging="525"/>
        <w:jc w:val="right"/>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投标供应商（盖章）：</w:t>
      </w:r>
    </w:p>
    <w:p>
      <w:pPr>
        <w:snapToGrid w:val="0"/>
        <w:spacing w:line="276" w:lineRule="auto"/>
        <w:ind w:left="525" w:hanging="525"/>
        <w:jc w:val="right"/>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法定代表人或其委托代理人：（签字或盖章）</w:t>
      </w:r>
    </w:p>
    <w:p>
      <w:pPr>
        <w:snapToGrid w:val="0"/>
        <w:spacing w:line="276" w:lineRule="auto"/>
        <w:ind w:left="525" w:hanging="525"/>
        <w:jc w:val="right"/>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日期：  年  月  日</w:t>
      </w:r>
    </w:p>
    <w:p>
      <w:pPr>
        <w:snapToGrid w:val="0"/>
        <w:rPr>
          <w:rStyle w:val="39"/>
          <w:rFonts w:hint="eastAsia" w:ascii="宋体" w:hAnsi="宋体" w:eastAsia="宋体" w:cs="宋体"/>
          <w:color w:val="auto"/>
          <w:highlight w:val="none"/>
        </w:rPr>
      </w:pPr>
    </w:p>
    <w:p>
      <w:pPr>
        <w:snapToGrid w:val="0"/>
        <w:spacing w:line="700" w:lineRule="exact"/>
        <w:jc w:val="left"/>
        <w:rPr>
          <w:rStyle w:val="39"/>
          <w:rFonts w:hint="eastAsia" w:ascii="宋体" w:hAnsi="宋体" w:eastAsia="宋体" w:cs="宋体"/>
          <w:b/>
          <w:bCs/>
          <w:color w:val="auto"/>
          <w:sz w:val="24"/>
          <w:szCs w:val="21"/>
          <w:highlight w:val="none"/>
        </w:rPr>
      </w:pPr>
    </w:p>
    <w:p>
      <w:pPr>
        <w:snapToGrid w:val="0"/>
        <w:spacing w:line="700" w:lineRule="exact"/>
        <w:jc w:val="left"/>
        <w:rPr>
          <w:rStyle w:val="39"/>
          <w:rFonts w:hint="eastAsia" w:ascii="宋体" w:hAnsi="宋体" w:eastAsia="宋体" w:cs="宋体"/>
          <w:b/>
          <w:bCs/>
          <w:color w:val="auto"/>
          <w:sz w:val="24"/>
          <w:szCs w:val="21"/>
          <w:highlight w:val="none"/>
        </w:rPr>
      </w:pPr>
      <w:r>
        <w:rPr>
          <w:rStyle w:val="39"/>
          <w:rFonts w:hint="eastAsia" w:ascii="宋体" w:hAnsi="宋体" w:eastAsia="宋体" w:cs="宋体"/>
          <w:b/>
          <w:bCs/>
          <w:color w:val="auto"/>
          <w:sz w:val="24"/>
          <w:szCs w:val="21"/>
          <w:highlight w:val="none"/>
        </w:rPr>
        <w:br w:type="page"/>
      </w:r>
      <w:r>
        <w:rPr>
          <w:rStyle w:val="39"/>
          <w:rFonts w:hint="eastAsia" w:ascii="宋体" w:hAnsi="宋体" w:eastAsia="宋体" w:cs="宋体"/>
          <w:b/>
          <w:bCs/>
          <w:color w:val="auto"/>
          <w:sz w:val="24"/>
          <w:szCs w:val="21"/>
          <w:highlight w:val="none"/>
        </w:rPr>
        <w:t>C</w:t>
      </w:r>
      <w:r>
        <w:rPr>
          <w:rStyle w:val="39"/>
          <w:rFonts w:hint="eastAsia" w:ascii="宋体" w:hAnsi="宋体" w:eastAsia="宋体" w:cs="宋体"/>
          <w:b/>
          <w:bCs/>
          <w:color w:val="auto"/>
          <w:sz w:val="24"/>
          <w:szCs w:val="21"/>
          <w:highlight w:val="none"/>
          <w:lang w:val="en-US" w:eastAsia="zh-CN"/>
        </w:rPr>
        <w:t>报价文件</w:t>
      </w:r>
      <w:r>
        <w:rPr>
          <w:rStyle w:val="39"/>
          <w:rFonts w:hint="eastAsia" w:ascii="宋体" w:hAnsi="宋体" w:eastAsia="宋体" w:cs="宋体"/>
          <w:b/>
          <w:bCs/>
          <w:color w:val="auto"/>
          <w:sz w:val="24"/>
          <w:szCs w:val="21"/>
          <w:highlight w:val="none"/>
        </w:rPr>
        <w:t>（单独密封）</w:t>
      </w:r>
    </w:p>
    <w:p>
      <w:pPr>
        <w:snapToGrid w:val="0"/>
        <w:spacing w:line="500" w:lineRule="exact"/>
        <w:rPr>
          <w:rStyle w:val="39"/>
          <w:rFonts w:hint="eastAsia" w:ascii="宋体" w:hAnsi="宋体" w:eastAsia="宋体" w:cs="宋体"/>
          <w:b/>
          <w:bCs/>
          <w:color w:val="auto"/>
          <w:sz w:val="24"/>
          <w:szCs w:val="21"/>
          <w:highlight w:val="none"/>
        </w:rPr>
      </w:pPr>
    </w:p>
    <w:p>
      <w:pPr>
        <w:snapToGrid w:val="0"/>
        <w:spacing w:line="500" w:lineRule="exact"/>
        <w:jc w:val="center"/>
        <w:rPr>
          <w:rStyle w:val="39"/>
          <w:rFonts w:hint="eastAsia" w:ascii="宋体" w:hAnsi="宋体" w:eastAsia="宋体" w:cs="宋体"/>
          <w:b/>
          <w:bCs/>
          <w:color w:val="auto"/>
          <w:sz w:val="24"/>
          <w:szCs w:val="21"/>
          <w:highlight w:val="none"/>
          <w:lang w:eastAsia="zh-CN"/>
        </w:rPr>
      </w:pPr>
      <w:r>
        <w:rPr>
          <w:rStyle w:val="39"/>
          <w:rFonts w:hint="eastAsia" w:ascii="宋体" w:hAnsi="宋体" w:eastAsia="宋体" w:cs="宋体"/>
          <w:b/>
          <w:bCs/>
          <w:color w:val="auto"/>
          <w:sz w:val="24"/>
          <w:szCs w:val="21"/>
          <w:highlight w:val="none"/>
          <w:lang w:eastAsia="zh-CN"/>
        </w:rPr>
        <w:t>1.</w:t>
      </w:r>
      <w:r>
        <w:rPr>
          <w:rStyle w:val="39"/>
          <w:rFonts w:hint="eastAsia" w:ascii="宋体" w:hAnsi="宋体" w:eastAsia="宋体" w:cs="宋体"/>
          <w:b/>
          <w:bCs/>
          <w:color w:val="auto"/>
          <w:sz w:val="24"/>
          <w:szCs w:val="21"/>
          <w:highlight w:val="none"/>
        </w:rPr>
        <w:t>投标响应报价表</w:t>
      </w:r>
    </w:p>
    <w:p>
      <w:pPr>
        <w:snapToGrid w:val="0"/>
        <w:spacing w:line="500" w:lineRule="exact"/>
        <w:rPr>
          <w:rStyle w:val="39"/>
          <w:rFonts w:hint="eastAsia" w:ascii="宋体" w:hAnsi="宋体" w:eastAsia="宋体" w:cs="宋体"/>
          <w:color w:val="auto"/>
          <w:sz w:val="24"/>
          <w:szCs w:val="21"/>
          <w:highlight w:val="none"/>
        </w:rPr>
      </w:pPr>
    </w:p>
    <w:tbl>
      <w:tblPr>
        <w:tblStyle w:val="20"/>
        <w:tblpPr w:leftFromText="180" w:rightFromText="180" w:vertAnchor="text" w:horzAnchor="page" w:tblpXSpec="center" w:tblpY="460"/>
        <w:tblOverlap w:val="never"/>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7"/>
        <w:gridCol w:w="3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3" w:hRule="exact"/>
          <w:jc w:val="center"/>
        </w:trPr>
        <w:tc>
          <w:tcPr>
            <w:tcW w:w="5367" w:type="dxa"/>
            <w:tcBorders>
              <w:top w:val="single" w:color="000000" w:sz="4" w:space="0"/>
              <w:left w:val="single" w:color="000000" w:sz="4" w:space="0"/>
              <w:bottom w:val="single" w:color="auto" w:sz="4" w:space="0"/>
              <w:right w:val="single" w:color="000000" w:sz="4" w:space="0"/>
            </w:tcBorders>
            <w:vAlign w:val="center"/>
          </w:tcPr>
          <w:p>
            <w:pPr>
              <w:snapToGrid w:val="0"/>
              <w:spacing w:line="520" w:lineRule="exact"/>
              <w:ind w:left="1" w:firstLine="27" w:firstLineChars="11"/>
              <w:jc w:val="center"/>
              <w:textAlignment w:val="bottom"/>
              <w:rPr>
                <w:rStyle w:val="39"/>
                <w:rFonts w:hint="eastAsia" w:ascii="宋体" w:hAnsi="宋体" w:eastAsia="宋体" w:cs="宋体"/>
                <w:b/>
                <w:color w:val="auto"/>
                <w:kern w:val="0"/>
                <w:sz w:val="24"/>
                <w:szCs w:val="24"/>
                <w:highlight w:val="none"/>
              </w:rPr>
            </w:pPr>
            <w:r>
              <w:rPr>
                <w:rStyle w:val="39"/>
                <w:rFonts w:hint="eastAsia" w:ascii="宋体" w:hAnsi="宋体" w:eastAsia="宋体" w:cs="宋体"/>
                <w:b/>
                <w:color w:val="auto"/>
                <w:kern w:val="0"/>
                <w:sz w:val="24"/>
                <w:szCs w:val="24"/>
                <w:highlight w:val="none"/>
              </w:rPr>
              <w:t>项目名称</w:t>
            </w:r>
          </w:p>
        </w:tc>
        <w:tc>
          <w:tcPr>
            <w:tcW w:w="3691" w:type="dxa"/>
            <w:tcBorders>
              <w:top w:val="single" w:color="000000" w:sz="4" w:space="0"/>
              <w:left w:val="single" w:color="000000" w:sz="4" w:space="0"/>
              <w:bottom w:val="single" w:color="auto" w:sz="4" w:space="0"/>
              <w:right w:val="single" w:color="000000" w:sz="4" w:space="0"/>
            </w:tcBorders>
            <w:vAlign w:val="center"/>
          </w:tcPr>
          <w:p>
            <w:pPr>
              <w:snapToGrid w:val="0"/>
              <w:spacing w:line="520" w:lineRule="exact"/>
              <w:ind w:left="1" w:firstLine="27" w:firstLineChars="11"/>
              <w:jc w:val="center"/>
              <w:textAlignment w:val="bottom"/>
              <w:rPr>
                <w:rStyle w:val="39"/>
                <w:rFonts w:hint="eastAsia" w:ascii="宋体" w:hAnsi="宋体" w:eastAsia="宋体" w:cs="宋体"/>
                <w:b/>
                <w:color w:val="auto"/>
                <w:kern w:val="0"/>
                <w:sz w:val="24"/>
                <w:szCs w:val="24"/>
                <w:highlight w:val="none"/>
              </w:rPr>
            </w:pPr>
            <w:r>
              <w:rPr>
                <w:rStyle w:val="39"/>
                <w:rFonts w:hint="eastAsia" w:ascii="宋体" w:hAnsi="宋体" w:eastAsia="宋体" w:cs="宋体"/>
                <w:b/>
                <w:color w:val="auto"/>
                <w:sz w:val="24"/>
                <w:szCs w:val="24"/>
                <w:highlight w:val="none"/>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exact"/>
          <w:jc w:val="center"/>
        </w:trPr>
        <w:tc>
          <w:tcPr>
            <w:tcW w:w="5367" w:type="dxa"/>
            <w:tcBorders>
              <w:top w:val="single" w:color="auto" w:sz="4" w:space="0"/>
              <w:left w:val="single" w:color="auto" w:sz="4" w:space="0"/>
              <w:bottom w:val="single" w:color="auto" w:sz="4" w:space="0"/>
              <w:right w:val="single" w:color="000000" w:sz="4" w:space="0"/>
            </w:tcBorders>
            <w:vAlign w:val="center"/>
          </w:tcPr>
          <w:p>
            <w:pPr>
              <w:snapToGrid w:val="0"/>
              <w:jc w:val="center"/>
              <w:rPr>
                <w:rStyle w:val="39"/>
                <w:rFonts w:hint="eastAsia" w:ascii="宋体" w:hAnsi="宋体" w:eastAsia="宋体" w:cs="宋体"/>
                <w:color w:val="auto"/>
                <w:kern w:val="0"/>
                <w:sz w:val="20"/>
                <w:highlight w:val="none"/>
              </w:rPr>
            </w:pPr>
          </w:p>
        </w:tc>
        <w:tc>
          <w:tcPr>
            <w:tcW w:w="3691" w:type="dxa"/>
            <w:tcBorders>
              <w:top w:val="single" w:color="auto" w:sz="4" w:space="0"/>
              <w:left w:val="single" w:color="000000" w:sz="4" w:space="0"/>
              <w:bottom w:val="single" w:color="auto" w:sz="4" w:space="0"/>
              <w:right w:val="single" w:color="auto" w:sz="4" w:space="0"/>
            </w:tcBorders>
            <w:vAlign w:val="center"/>
          </w:tcPr>
          <w:p>
            <w:pPr>
              <w:snapToGrid w:val="0"/>
              <w:jc w:val="center"/>
              <w:rPr>
                <w:rStyle w:val="39"/>
                <w:rFonts w:hint="default" w:ascii="宋体" w:hAnsi="宋体" w:eastAsia="宋体" w:cs="宋体"/>
                <w:color w:val="auto"/>
                <w:kern w:val="0"/>
                <w:sz w:val="20"/>
                <w:highlight w:val="none"/>
                <w:lang w:val="en-US" w:eastAsia="zh-CN"/>
              </w:rPr>
            </w:pPr>
            <w:r>
              <w:rPr>
                <w:rStyle w:val="39"/>
                <w:rFonts w:hint="eastAsia" w:ascii="宋体" w:hAnsi="宋体" w:eastAsia="宋体" w:cs="宋体"/>
                <w:color w:val="auto"/>
                <w:kern w:val="0"/>
                <w:sz w:val="20"/>
                <w:highlight w:val="none"/>
                <w:lang w:val="en-US" w:eastAsia="zh-CN"/>
              </w:rPr>
              <w:t>____________</w:t>
            </w:r>
            <w:r>
              <w:rPr>
                <w:rStyle w:val="39"/>
                <w:rFonts w:hint="eastAsia" w:ascii="宋体" w:hAnsi="宋体" w:eastAsia="宋体" w:cs="宋体"/>
                <w:color w:val="auto"/>
                <w:kern w:val="0"/>
                <w:sz w:val="20"/>
                <w:highlight w:val="none"/>
                <w:u w:val="none"/>
                <w:lang w:val="en-US" w:eastAsia="zh-CN"/>
              </w:rPr>
              <w:t>元</w:t>
            </w:r>
          </w:p>
          <w:p>
            <w:pPr>
              <w:snapToGrid w:val="0"/>
              <w:jc w:val="center"/>
              <w:rPr>
                <w:rStyle w:val="39"/>
                <w:rFonts w:hint="default" w:ascii="宋体" w:hAnsi="宋体" w:eastAsia="宋体" w:cs="宋体"/>
                <w:color w:val="auto"/>
                <w:kern w:val="0"/>
                <w:sz w:val="20"/>
                <w:highlight w:val="none"/>
                <w:lang w:val="en-US" w:eastAsia="zh-CN"/>
              </w:rPr>
            </w:pPr>
            <w:r>
              <w:rPr>
                <w:rStyle w:val="39"/>
                <w:rFonts w:hint="eastAsia" w:ascii="宋体" w:hAnsi="宋体" w:eastAsia="宋体" w:cs="宋体"/>
                <w:color w:val="auto"/>
                <w:kern w:val="0"/>
                <w:sz w:val="20"/>
                <w:highlight w:val="none"/>
              </w:rPr>
              <w:t>人民币大写：</w:t>
            </w:r>
            <w:r>
              <w:rPr>
                <w:rStyle w:val="39"/>
                <w:rFonts w:hint="eastAsia" w:ascii="宋体" w:hAnsi="宋体" w:eastAsia="宋体" w:cs="宋体"/>
                <w:color w:val="auto"/>
                <w:kern w:val="0"/>
                <w:sz w:val="20"/>
                <w:highlight w:val="none"/>
                <w:lang w:val="en-US" w:eastAsia="zh-CN"/>
              </w:rPr>
              <w:t>____________</w:t>
            </w:r>
          </w:p>
        </w:tc>
      </w:tr>
    </w:tbl>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投标供应商：（盖章）             </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法定代表人或被授权人（签字或盖章）：</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日期：</w:t>
      </w:r>
    </w:p>
    <w:p>
      <w:pPr>
        <w:rPr>
          <w:rStyle w:val="39"/>
          <w:rFonts w:hint="eastAsia" w:ascii="宋体" w:hAnsi="宋体" w:eastAsia="宋体" w:cs="宋体"/>
          <w:b/>
          <w:bCs/>
          <w:color w:val="auto"/>
          <w:sz w:val="24"/>
          <w:szCs w:val="21"/>
          <w:highlight w:val="none"/>
          <w:lang w:val="en-US" w:eastAsia="zh-CN"/>
        </w:rPr>
      </w:pPr>
      <w:r>
        <w:rPr>
          <w:rStyle w:val="39"/>
          <w:rFonts w:hint="eastAsia" w:ascii="宋体" w:hAnsi="宋体" w:eastAsia="宋体" w:cs="宋体"/>
          <w:b/>
          <w:bCs/>
          <w:color w:val="auto"/>
          <w:sz w:val="24"/>
          <w:szCs w:val="21"/>
          <w:highlight w:val="none"/>
          <w:lang w:val="en-US" w:eastAsia="zh-CN"/>
        </w:rPr>
        <w:br w:type="page"/>
      </w:r>
    </w:p>
    <w:p>
      <w:pPr>
        <w:snapToGrid w:val="0"/>
        <w:spacing w:line="500" w:lineRule="exact"/>
        <w:jc w:val="center"/>
        <w:rPr>
          <w:rStyle w:val="39"/>
          <w:rFonts w:hint="eastAsia" w:ascii="宋体" w:hAnsi="宋体" w:eastAsia="宋体" w:cs="宋体"/>
          <w:b/>
          <w:color w:val="auto"/>
          <w:sz w:val="24"/>
          <w:szCs w:val="21"/>
          <w:highlight w:val="none"/>
          <w:lang w:eastAsia="zh-CN"/>
        </w:rPr>
      </w:pPr>
      <w:r>
        <w:rPr>
          <w:rStyle w:val="39"/>
          <w:rFonts w:hint="eastAsia" w:ascii="宋体" w:hAnsi="宋体" w:eastAsia="宋体" w:cs="宋体"/>
          <w:b/>
          <w:bCs/>
          <w:color w:val="auto"/>
          <w:sz w:val="24"/>
          <w:szCs w:val="21"/>
          <w:highlight w:val="none"/>
          <w:lang w:val="en-US" w:eastAsia="zh-CN"/>
        </w:rPr>
        <w:t>2.</w:t>
      </w:r>
      <w:r>
        <w:rPr>
          <w:rStyle w:val="39"/>
          <w:rFonts w:hint="eastAsia" w:ascii="宋体" w:hAnsi="宋体" w:eastAsia="宋体" w:cs="宋体"/>
          <w:b/>
          <w:color w:val="auto"/>
          <w:sz w:val="24"/>
          <w:szCs w:val="21"/>
          <w:highlight w:val="none"/>
        </w:rPr>
        <w:t>投标报价明细表</w:t>
      </w:r>
      <w:r>
        <w:rPr>
          <w:rStyle w:val="39"/>
          <w:rFonts w:hint="eastAsia" w:ascii="宋体" w:hAnsi="宋体" w:eastAsia="宋体" w:cs="宋体"/>
          <w:b/>
          <w:color w:val="auto"/>
          <w:sz w:val="24"/>
          <w:szCs w:val="21"/>
          <w:highlight w:val="none"/>
          <w:lang w:eastAsia="zh-CN"/>
        </w:rPr>
        <w:t>（</w:t>
      </w:r>
      <w:r>
        <w:rPr>
          <w:rStyle w:val="39"/>
          <w:rFonts w:hint="eastAsia" w:ascii="宋体" w:hAnsi="宋体" w:eastAsia="宋体" w:cs="宋体"/>
          <w:b/>
          <w:color w:val="auto"/>
          <w:sz w:val="24"/>
          <w:szCs w:val="21"/>
          <w:highlight w:val="none"/>
          <w:lang w:val="en-US" w:eastAsia="zh-CN"/>
        </w:rPr>
        <w:t>格式自拟</w:t>
      </w:r>
      <w:r>
        <w:rPr>
          <w:rStyle w:val="39"/>
          <w:rFonts w:hint="eastAsia" w:ascii="宋体" w:hAnsi="宋体" w:eastAsia="宋体" w:cs="宋体"/>
          <w:b/>
          <w:color w:val="auto"/>
          <w:sz w:val="24"/>
          <w:szCs w:val="21"/>
          <w:highlight w:val="none"/>
          <w:lang w:eastAsia="zh-CN"/>
        </w:rPr>
        <w:t>）</w:t>
      </w:r>
    </w:p>
    <w:p>
      <w:pPr>
        <w:pStyle w:val="19"/>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rPr>
          <w:rStyle w:val="39"/>
          <w:rFonts w:hint="eastAsia" w:ascii="宋体" w:hAnsi="宋体" w:eastAsia="宋体" w:cs="宋体"/>
          <w:color w:val="auto"/>
          <w:sz w:val="24"/>
          <w:szCs w:val="21"/>
          <w:highlight w:val="none"/>
        </w:rPr>
      </w:pP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 xml:space="preserve">投标供应商：（盖章）             </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法定代表人或被授权人（签字或盖章）：</w:t>
      </w:r>
    </w:p>
    <w:p>
      <w:pPr>
        <w:snapToGrid w:val="0"/>
        <w:spacing w:line="500" w:lineRule="exact"/>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t>日期：</w:t>
      </w:r>
    </w:p>
    <w:p>
      <w:pPr>
        <w:snapToGrid w:val="0"/>
        <w:jc w:val="center"/>
        <w:rPr>
          <w:rStyle w:val="39"/>
          <w:rFonts w:hint="eastAsia" w:ascii="宋体" w:hAnsi="宋体" w:eastAsia="宋体" w:cs="宋体"/>
          <w:color w:val="auto"/>
          <w:sz w:val="24"/>
          <w:szCs w:val="21"/>
          <w:highlight w:val="none"/>
        </w:rPr>
      </w:pPr>
      <w:r>
        <w:rPr>
          <w:rStyle w:val="39"/>
          <w:rFonts w:hint="eastAsia" w:ascii="宋体" w:hAnsi="宋体" w:eastAsia="宋体" w:cs="宋体"/>
          <w:color w:val="auto"/>
          <w:sz w:val="24"/>
          <w:szCs w:val="21"/>
          <w:highlight w:val="none"/>
        </w:rPr>
        <w:br w:type="textWrapping"/>
      </w:r>
    </w:p>
    <w:p>
      <w:pPr>
        <w:snapToGrid w:val="0"/>
        <w:rPr>
          <w:rStyle w:val="39"/>
          <w:rFonts w:hint="eastAsia" w:ascii="宋体" w:hAnsi="宋体" w:eastAsia="宋体" w:cs="宋体"/>
          <w:color w:val="auto"/>
          <w:sz w:val="24"/>
          <w:szCs w:val="24"/>
          <w:highlight w:val="none"/>
        </w:rPr>
      </w:pPr>
    </w:p>
    <w:sectPr>
      <w:headerReference r:id="rId13" w:type="first"/>
      <w:footerReference r:id="rId14" w:type="first"/>
      <w:headerReference r:id="rId12" w:type="default"/>
      <w:pgSz w:w="11906" w:h="16838"/>
      <w:pgMar w:top="1418" w:right="1418" w:bottom="1418" w:left="1418" w:header="851" w:footer="992"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Menlo">
    <w:altName w:val="Segoe Print"/>
    <w:panose1 w:val="020B0609030804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3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Style w:val="3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1"/>
                            <w:rPr>
                              <w:rStyle w:val="39"/>
                            </w:rPr>
                          </w:pPr>
                        </w:p>
                        <w:p>
                          <w:pPr>
                            <w:rPr>
                              <w:rStyle w:val="39"/>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4wx8DawBAAB2&#10;AwAADgAAAAAAAAABACAAAAAhAQAAZHJzL2Uyb0RvYy54bWxQSwUGAAAAAAYABgBZAQAAPwUAAAAA&#10;">
              <v:fill on="f" focussize="0,0"/>
              <v:stroke on="f" weight="1.25pt"/>
              <v:imagedata o:title=""/>
              <o:lock v:ext="edit" aspectratio="f"/>
              <v:textbox inset="0mm,0mm,0mm,0mm">
                <w:txbxContent>
                  <w:p>
                    <w:pPr>
                      <w:pStyle w:val="71"/>
                      <w:rPr>
                        <w:rStyle w:val="39"/>
                      </w:rPr>
                    </w:pPr>
                  </w:p>
                  <w:p>
                    <w:pPr>
                      <w:rPr>
                        <w:rStyle w:val="39"/>
                      </w:rPr>
                    </w:pPr>
                  </w:p>
                </w:txbxContent>
              </v:textbox>
            </v:shape>
          </w:pict>
        </mc:Fallback>
      </mc:AlternateContent>
    </w:r>
    <w:r>
      <w:rPr>
        <w:rStyle w:val="3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4099"/>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4099" o:spid="_x0000_s1026" o:spt="202" type="#_x0000_t202" style="position:absolute;left:0pt;margin-top:0pt;height:11.65pt;width:76.55pt;mso-position-horizontal:center;mso-position-horizontal-relative:margin;z-index:251659264;mso-width-relative:page;mso-height-relative:page;" filled="f" stroked="f" coordsize="21600,21600" o:gfxdata="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GV25tQAAAAEAQAADwAA&#10;AAAAAAABACAAAAAiAAAAZHJzL2Rvd25yZXYueG1sUEsBAhQAFAAAAAgAh07iQGfAV5+oAQAAagMA&#10;AA4AAAAAAAAAAQAgAAAAIwEAAGRycy9lMm9Eb2MueG1sUEsFBgAAAAAGAAYAWQEAAD0FA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framePr w:wrap="around" w:vAnchor="margin" w:hAnchor="text" w:xAlign="right" w:y="1"/>
      <w:rPr>
        <w:rStyle w:val="95"/>
      </w:rPr>
    </w:pPr>
  </w:p>
  <w:p>
    <w:pPr>
      <w:pStyle w:val="71"/>
      <w:ind w:right="360" w:firstLine="360"/>
      <w:rPr>
        <w:rStyle w:val="3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center"/>
      <w:rPr>
        <w:rStyle w:val="39"/>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Style w:val="3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1"/>
                            <w:rPr>
                              <w:rStyle w:val="39"/>
                            </w:rPr>
                          </w:pPr>
                        </w:p>
                        <w:p>
                          <w:pPr>
                            <w:rPr>
                              <w:rStyle w:val="39"/>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7jl9IAAAAFAQAADwAA&#10;AAAAAAABACAAAAAiAAAAZHJzL2Rvd25yZXYueG1sUEsBAhQAFAAAAAgAh07iQN5PrzWqAQAAdgMA&#10;AA4AAAAAAAAAAQAgAAAAIQEAAGRycy9lMm9Eb2MueG1sUEsFBgAAAAAGAAYAWQEAAD0FAAAAAA==&#10;">
              <v:fill on="f" focussize="0,0"/>
              <v:stroke on="f" weight="1.25pt"/>
              <v:imagedata o:title=""/>
              <o:lock v:ext="edit" aspectratio="f"/>
              <v:textbox inset="0mm,0mm,0mm,0mm">
                <w:txbxContent>
                  <w:p>
                    <w:pPr>
                      <w:pStyle w:val="71"/>
                      <w:rPr>
                        <w:rStyle w:val="39"/>
                      </w:rPr>
                    </w:pPr>
                  </w:p>
                  <w:p>
                    <w:pPr>
                      <w:rPr>
                        <w:rStyle w:val="39"/>
                      </w:rPr>
                    </w:pPr>
                  </w:p>
                </w:txbxContent>
              </v:textbox>
            </v:shape>
          </w:pict>
        </mc:Fallback>
      </mc:AlternateContent>
    </w:r>
    <w:r>
      <w:rPr>
        <w:rStyle w:val="3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410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4101" o:spid="_x0000_s1026" o:spt="202" type="#_x0000_t202" style="position:absolute;left:0pt;margin-top:0pt;height:11.65pt;width:67.55pt;mso-position-horizontal:center;mso-position-horizontal-relative:margin;z-index:251659264;mso-width-relative:page;mso-height-relative:page;" filled="f" stroked="f" coordsize="21600,21600" o:gfxdata="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7urctQAAAAEAQAADwAA&#10;AAAAAAABACAAAAAiAAAAZHJzL2Rvd25yZXYueG1sUEsBAhQAFAAAAAgAh07iQJoDmtGoAQAAagMA&#10;AA4AAAAAAAAAAQAgAAAAIwEAAGRycy9lMm9Eb2MueG1sUEsFBgAAAAAGAAYAWQEAAD0FA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ind w:right="180"/>
      <w:jc w:val="center"/>
      <w:rPr>
        <w:rStyle w:val="39"/>
      </w:rPr>
    </w:pPr>
    <w:r>
      <w:rPr>
        <w:rStyle w:val="3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2985" cy="189865"/>
              <wp:effectExtent l="0" t="0" r="0" b="0"/>
              <wp:wrapNone/>
              <wp:docPr id="5" name="4102"/>
              <wp:cNvGraphicFramePr/>
              <a:graphic xmlns:a="http://schemas.openxmlformats.org/drawingml/2006/main">
                <a:graphicData uri="http://schemas.microsoft.com/office/word/2010/wordprocessingShape">
                  <wps:wsp>
                    <wps:cNvSpPr txBox="1"/>
                    <wps:spPr>
                      <a:xfrm>
                        <a:off x="0" y="0"/>
                        <a:ext cx="1022985" cy="189865"/>
                      </a:xfrm>
                      <a:prstGeom prst="rect">
                        <a:avLst/>
                      </a:prstGeom>
                      <a:noFill/>
                      <a:ln>
                        <a:noFill/>
                      </a:ln>
                    </wps:spPr>
                    <wps:txbx>
                      <w:txbxContent>
                        <w:p>
                          <w:pPr>
                            <w:snapToGrid w:val="0"/>
                            <w:rPr>
                              <w:rStyle w:val="39"/>
                              <w:sz w:val="18"/>
                            </w:rPr>
                          </w:pPr>
                          <w:r>
                            <w:rPr>
                              <w:rStyle w:val="39"/>
                              <w:sz w:val="18"/>
                            </w:rPr>
                            <w:t>第  页 共 29 页</w:t>
                          </w:r>
                        </w:p>
                        <w:p>
                          <w:pPr>
                            <w:rPr>
                              <w:rStyle w:val="39"/>
                            </w:rPr>
                          </w:pPr>
                        </w:p>
                      </w:txbxContent>
                    </wps:txbx>
                    <wps:bodyPr lIns="0" tIns="0" rIns="0" bIns="0" upright="1"/>
                  </wps:wsp>
                </a:graphicData>
              </a:graphic>
            </wp:anchor>
          </w:drawing>
        </mc:Choice>
        <mc:Fallback>
          <w:pict>
            <v:shape id="4102" o:spid="_x0000_s1026" o:spt="202" type="#_x0000_t202" style="position:absolute;left:0pt;margin-top:0pt;height:14.95pt;width:80.55pt;mso-position-horizontal:center;mso-position-horizontal-relative:margin;z-index:251659264;mso-width-relative:page;mso-height-relative:page;" filled="f" stroked="f" coordsize="21600,21600" o:gfxdata="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RPFWrTAAAABAEAAA8AAAAA&#10;AAAAAQAgAAAAIgAAAGRycy9kb3ducmV2LnhtbFBLAQIUABQAAAAIAIdO4kChO41CpwEAAGsDAAAO&#10;AAAAAAAAAAEAIAAAACIBAABkcnMvZTJvRG9jLnhtbFBLBQYAAAAABgAGAFkBAAA7BQAAAAA=&#10;">
              <v:fill on="f" focussize="0,0"/>
              <v:stroke on="f"/>
              <v:imagedata o:title=""/>
              <o:lock v:ext="edit" aspectratio="f"/>
              <v:textbox inset="0mm,0mm,0mm,0mm">
                <w:txbxContent>
                  <w:p>
                    <w:pPr>
                      <w:snapToGrid w:val="0"/>
                      <w:rPr>
                        <w:rStyle w:val="39"/>
                        <w:sz w:val="18"/>
                      </w:rPr>
                    </w:pPr>
                    <w:r>
                      <w:rPr>
                        <w:rStyle w:val="39"/>
                        <w:sz w:val="18"/>
                      </w:rPr>
                      <w:t>第  页 共 29 页</w:t>
                    </w:r>
                  </w:p>
                  <w:p>
                    <w:pPr>
                      <w:rPr>
                        <w:rStyle w:val="39"/>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39"/>
      </w:rPr>
    </w:pPr>
    <w:r>
      <w:rPr>
        <w:rStyle w:val="39"/>
      </w:rPr>
      <w:t>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3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rPr>
        <w:rStyle w:val="39"/>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bottom w:val="none" w:color="auto" w:sz="0" w:space="0"/>
      </w:pBdr>
      <w:tabs>
        <w:tab w:val="left" w:pos="540"/>
      </w:tabs>
      <w:jc w:val="both"/>
      <w:rPr>
        <w:rStyle w:val="39"/>
      </w:rPr>
    </w:pPr>
    <w:r>
      <w:rPr>
        <w:rStyle w:val="39"/>
      </w:rPr>
      <w:tab/>
    </w:r>
    <w:r>
      <w:rPr>
        <w:rStyle w:val="39"/>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rPr>
        <w:rStyle w:val="39"/>
      </w:rPr>
    </w:pPr>
    <w:r>
      <w:rPr>
        <w:rStyle w:val="39"/>
        <w:b/>
        <w:color w:val="00000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28"/>
      <w:lvlText w:val=""/>
      <w:lvlJc w:val="left"/>
      <w:pPr>
        <w:tabs>
          <w:tab w:val="left" w:pos="780"/>
        </w:tabs>
        <w:ind w:left="780" w:hanging="360"/>
      </w:pPr>
      <w:rPr>
        <w:rFonts w:ascii="Wingdings" w:hAnsi="Wingdings"/>
      </w:rPr>
    </w:lvl>
  </w:abstractNum>
  <w:abstractNum w:abstractNumId="1">
    <w:nsid w:val="D7573C3E"/>
    <w:multiLevelType w:val="singleLevel"/>
    <w:tmpl w:val="D7573C3E"/>
    <w:lvl w:ilvl="0" w:tentative="0">
      <w:start w:val="1"/>
      <w:numFmt w:val="decimal"/>
      <w:pStyle w:val="13"/>
      <w:lvlText w:val="%1."/>
      <w:lvlJc w:val="left"/>
      <w:pPr>
        <w:tabs>
          <w:tab w:val="left" w:pos="2040"/>
        </w:tabs>
        <w:ind w:left="2040" w:hanging="360"/>
      </w:pPr>
    </w:lvl>
  </w:abstractNum>
  <w:abstractNum w:abstractNumId="2">
    <w:nsid w:val="00000002"/>
    <w:multiLevelType w:val="singleLevel"/>
    <w:tmpl w:val="00000002"/>
    <w:lvl w:ilvl="0" w:tentative="0">
      <w:start w:val="1"/>
      <w:numFmt w:val="decimal"/>
      <w:suff w:val="nothing"/>
      <w:lvlText w:val="（%1）"/>
      <w:lvlJc w:val="left"/>
      <w:pPr>
        <w:textAlignment w:val="baseline"/>
      </w:pPr>
    </w:lvl>
  </w:abstractNum>
  <w:abstractNum w:abstractNumId="3">
    <w:nsid w:val="00000005"/>
    <w:multiLevelType w:val="singleLevel"/>
    <w:tmpl w:val="00000005"/>
    <w:lvl w:ilvl="0" w:tentative="0">
      <w:start w:val="2"/>
      <w:numFmt w:val="chineseCounting"/>
      <w:suff w:val="nothing"/>
      <w:lvlText w:val="（%1）"/>
      <w:lvlJc w:val="left"/>
      <w:pPr>
        <w:textAlignment w:val="baseline"/>
      </w:pPr>
    </w:lvl>
  </w:abstractNum>
  <w:abstractNum w:abstractNumId="4">
    <w:nsid w:val="00000006"/>
    <w:multiLevelType w:val="singleLevel"/>
    <w:tmpl w:val="00000006"/>
    <w:lvl w:ilvl="0" w:tentative="0">
      <w:start w:val="1"/>
      <w:numFmt w:val="chineseCounting"/>
      <w:suff w:val="space"/>
      <w:lvlText w:val="第%1章"/>
      <w:lvlJc w:val="left"/>
      <w:rPr>
        <w:rFonts w:hint="eastAsia"/>
      </w:rPr>
    </w:lvl>
  </w:abstractNum>
  <w:abstractNum w:abstractNumId="5">
    <w:nsid w:val="0000000F"/>
    <w:multiLevelType w:val="multilevel"/>
    <w:tmpl w:val="0000000F"/>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5"/>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00172A27"/>
    <w:rsid w:val="00757B9E"/>
    <w:rsid w:val="00E6076F"/>
    <w:rsid w:val="01260E98"/>
    <w:rsid w:val="01377292"/>
    <w:rsid w:val="01CA4716"/>
    <w:rsid w:val="01D4523A"/>
    <w:rsid w:val="02844DF9"/>
    <w:rsid w:val="028D4436"/>
    <w:rsid w:val="03483348"/>
    <w:rsid w:val="035A307B"/>
    <w:rsid w:val="03637B35"/>
    <w:rsid w:val="0387006A"/>
    <w:rsid w:val="03C72B80"/>
    <w:rsid w:val="03D031B4"/>
    <w:rsid w:val="03DD40E2"/>
    <w:rsid w:val="04090D29"/>
    <w:rsid w:val="041E32B7"/>
    <w:rsid w:val="04AC4469"/>
    <w:rsid w:val="04CE043A"/>
    <w:rsid w:val="04E31A4C"/>
    <w:rsid w:val="04FA7115"/>
    <w:rsid w:val="057F184B"/>
    <w:rsid w:val="05A607FA"/>
    <w:rsid w:val="05A82B67"/>
    <w:rsid w:val="05C55124"/>
    <w:rsid w:val="05DD3877"/>
    <w:rsid w:val="05DE136C"/>
    <w:rsid w:val="05ED1BE1"/>
    <w:rsid w:val="062C1654"/>
    <w:rsid w:val="06755150"/>
    <w:rsid w:val="06986941"/>
    <w:rsid w:val="06B70F10"/>
    <w:rsid w:val="06F76370"/>
    <w:rsid w:val="075B2A05"/>
    <w:rsid w:val="0761419A"/>
    <w:rsid w:val="07632E46"/>
    <w:rsid w:val="07F73F14"/>
    <w:rsid w:val="08150B96"/>
    <w:rsid w:val="082476FC"/>
    <w:rsid w:val="082D6FB0"/>
    <w:rsid w:val="08343B75"/>
    <w:rsid w:val="087523D5"/>
    <w:rsid w:val="08B2796D"/>
    <w:rsid w:val="08E81CF0"/>
    <w:rsid w:val="09DB3168"/>
    <w:rsid w:val="0A9A1D9C"/>
    <w:rsid w:val="0ADF52ED"/>
    <w:rsid w:val="0B420FC5"/>
    <w:rsid w:val="0BC11EE9"/>
    <w:rsid w:val="0C367B35"/>
    <w:rsid w:val="0C4E1E1A"/>
    <w:rsid w:val="0C9615C8"/>
    <w:rsid w:val="0D0C0CD0"/>
    <w:rsid w:val="0D7758B2"/>
    <w:rsid w:val="0E744EB4"/>
    <w:rsid w:val="0ED65CAC"/>
    <w:rsid w:val="0F1A350D"/>
    <w:rsid w:val="0F264E85"/>
    <w:rsid w:val="0F344D93"/>
    <w:rsid w:val="0F423341"/>
    <w:rsid w:val="0F760A24"/>
    <w:rsid w:val="0FC1070A"/>
    <w:rsid w:val="10196798"/>
    <w:rsid w:val="1057164E"/>
    <w:rsid w:val="108959FA"/>
    <w:rsid w:val="10A4789A"/>
    <w:rsid w:val="10BE5C37"/>
    <w:rsid w:val="11683CF4"/>
    <w:rsid w:val="11867E5D"/>
    <w:rsid w:val="119D51A7"/>
    <w:rsid w:val="11FC5EC4"/>
    <w:rsid w:val="12057B1E"/>
    <w:rsid w:val="12270DDE"/>
    <w:rsid w:val="123B37FA"/>
    <w:rsid w:val="123C49B5"/>
    <w:rsid w:val="125448F2"/>
    <w:rsid w:val="12614426"/>
    <w:rsid w:val="12665599"/>
    <w:rsid w:val="12751495"/>
    <w:rsid w:val="127E28E2"/>
    <w:rsid w:val="128B4FFF"/>
    <w:rsid w:val="12AB389D"/>
    <w:rsid w:val="12B83E18"/>
    <w:rsid w:val="12DA1AE3"/>
    <w:rsid w:val="12FD5DF9"/>
    <w:rsid w:val="13113A7C"/>
    <w:rsid w:val="137E6302"/>
    <w:rsid w:val="13D17672"/>
    <w:rsid w:val="13D754E4"/>
    <w:rsid w:val="14432035"/>
    <w:rsid w:val="144724C3"/>
    <w:rsid w:val="1467582C"/>
    <w:rsid w:val="14D44347"/>
    <w:rsid w:val="152466FE"/>
    <w:rsid w:val="15C0438C"/>
    <w:rsid w:val="15C92298"/>
    <w:rsid w:val="16674B8C"/>
    <w:rsid w:val="166D339A"/>
    <w:rsid w:val="16885A42"/>
    <w:rsid w:val="16F03802"/>
    <w:rsid w:val="17223FB8"/>
    <w:rsid w:val="177B7D38"/>
    <w:rsid w:val="17B66205"/>
    <w:rsid w:val="17BE19D3"/>
    <w:rsid w:val="1821051F"/>
    <w:rsid w:val="1821451A"/>
    <w:rsid w:val="183028D1"/>
    <w:rsid w:val="185D2F9A"/>
    <w:rsid w:val="19356E47"/>
    <w:rsid w:val="193B4DF8"/>
    <w:rsid w:val="195844C8"/>
    <w:rsid w:val="1A920163"/>
    <w:rsid w:val="1BB222C0"/>
    <w:rsid w:val="1C132598"/>
    <w:rsid w:val="1C19367C"/>
    <w:rsid w:val="1C4E1577"/>
    <w:rsid w:val="1CDD6D9F"/>
    <w:rsid w:val="1D023A97"/>
    <w:rsid w:val="1D0646D0"/>
    <w:rsid w:val="1D0A0D4D"/>
    <w:rsid w:val="1D1C1676"/>
    <w:rsid w:val="1D1F4CC2"/>
    <w:rsid w:val="1D290FE7"/>
    <w:rsid w:val="1D530F42"/>
    <w:rsid w:val="1E5C06AF"/>
    <w:rsid w:val="1E5E7A6C"/>
    <w:rsid w:val="1ED63E9A"/>
    <w:rsid w:val="1F0C4E90"/>
    <w:rsid w:val="1F354FC8"/>
    <w:rsid w:val="1F840693"/>
    <w:rsid w:val="1FCA131A"/>
    <w:rsid w:val="1FED0191"/>
    <w:rsid w:val="1FF64400"/>
    <w:rsid w:val="205B0707"/>
    <w:rsid w:val="208C62EB"/>
    <w:rsid w:val="20A3083C"/>
    <w:rsid w:val="20C42BDF"/>
    <w:rsid w:val="21244F9D"/>
    <w:rsid w:val="213C0A60"/>
    <w:rsid w:val="214C7B3F"/>
    <w:rsid w:val="215C0B1F"/>
    <w:rsid w:val="217A2058"/>
    <w:rsid w:val="21D146CE"/>
    <w:rsid w:val="21F6732A"/>
    <w:rsid w:val="224556F8"/>
    <w:rsid w:val="22D70707"/>
    <w:rsid w:val="22EA6095"/>
    <w:rsid w:val="23DC1B5F"/>
    <w:rsid w:val="244509F9"/>
    <w:rsid w:val="244E37C0"/>
    <w:rsid w:val="245A1ED5"/>
    <w:rsid w:val="246A1531"/>
    <w:rsid w:val="24AE0F3E"/>
    <w:rsid w:val="24FF741B"/>
    <w:rsid w:val="25207829"/>
    <w:rsid w:val="2550492B"/>
    <w:rsid w:val="25506B93"/>
    <w:rsid w:val="26587A0C"/>
    <w:rsid w:val="26F90B93"/>
    <w:rsid w:val="27933A2F"/>
    <w:rsid w:val="27C50C1A"/>
    <w:rsid w:val="27F751B9"/>
    <w:rsid w:val="28C54A49"/>
    <w:rsid w:val="28F65823"/>
    <w:rsid w:val="29030196"/>
    <w:rsid w:val="29087C0B"/>
    <w:rsid w:val="29314D6E"/>
    <w:rsid w:val="29453680"/>
    <w:rsid w:val="295757E3"/>
    <w:rsid w:val="295E5E8B"/>
    <w:rsid w:val="2A1619CB"/>
    <w:rsid w:val="2A685EFA"/>
    <w:rsid w:val="2AB32EED"/>
    <w:rsid w:val="2ADB0124"/>
    <w:rsid w:val="2B1F0692"/>
    <w:rsid w:val="2B5C1DBD"/>
    <w:rsid w:val="2BF61963"/>
    <w:rsid w:val="2D8D7A26"/>
    <w:rsid w:val="2E016643"/>
    <w:rsid w:val="2E0C1888"/>
    <w:rsid w:val="2E1A4A99"/>
    <w:rsid w:val="2E2A2DB4"/>
    <w:rsid w:val="2E6B113D"/>
    <w:rsid w:val="2E6E7857"/>
    <w:rsid w:val="2EFE7B1A"/>
    <w:rsid w:val="2FAD3E3B"/>
    <w:rsid w:val="2FCF7117"/>
    <w:rsid w:val="2FDC1157"/>
    <w:rsid w:val="2FE949C1"/>
    <w:rsid w:val="304E3828"/>
    <w:rsid w:val="306B7B89"/>
    <w:rsid w:val="30785DA3"/>
    <w:rsid w:val="30935189"/>
    <w:rsid w:val="30AE058D"/>
    <w:rsid w:val="3128669C"/>
    <w:rsid w:val="313308E4"/>
    <w:rsid w:val="31927D00"/>
    <w:rsid w:val="32681EA9"/>
    <w:rsid w:val="3290268C"/>
    <w:rsid w:val="329A05D0"/>
    <w:rsid w:val="33823918"/>
    <w:rsid w:val="33BA05EA"/>
    <w:rsid w:val="33C65265"/>
    <w:rsid w:val="34366B61"/>
    <w:rsid w:val="346E1088"/>
    <w:rsid w:val="353F5AA9"/>
    <w:rsid w:val="357928FA"/>
    <w:rsid w:val="358E5AF3"/>
    <w:rsid w:val="35F74A58"/>
    <w:rsid w:val="36653C36"/>
    <w:rsid w:val="36AE1B85"/>
    <w:rsid w:val="36EA770A"/>
    <w:rsid w:val="377E3F53"/>
    <w:rsid w:val="37AE43DE"/>
    <w:rsid w:val="380D2E43"/>
    <w:rsid w:val="38891B84"/>
    <w:rsid w:val="388C6E31"/>
    <w:rsid w:val="389D5322"/>
    <w:rsid w:val="38CE3F70"/>
    <w:rsid w:val="3A0476F8"/>
    <w:rsid w:val="3A103EB8"/>
    <w:rsid w:val="3A655FB2"/>
    <w:rsid w:val="3AEC0481"/>
    <w:rsid w:val="3B1A032C"/>
    <w:rsid w:val="3BAB4B50"/>
    <w:rsid w:val="3BBC4A99"/>
    <w:rsid w:val="3BD6467A"/>
    <w:rsid w:val="3C0F2B69"/>
    <w:rsid w:val="3C89758D"/>
    <w:rsid w:val="3CAC606F"/>
    <w:rsid w:val="3CB851B6"/>
    <w:rsid w:val="3CBC3E83"/>
    <w:rsid w:val="3CDA58EE"/>
    <w:rsid w:val="3CE04016"/>
    <w:rsid w:val="3D0D40C6"/>
    <w:rsid w:val="3D7D1865"/>
    <w:rsid w:val="3D8E3295"/>
    <w:rsid w:val="3DD07904"/>
    <w:rsid w:val="3E27295E"/>
    <w:rsid w:val="3E361C09"/>
    <w:rsid w:val="3E857011"/>
    <w:rsid w:val="3E8E22C6"/>
    <w:rsid w:val="3EF36F4F"/>
    <w:rsid w:val="3F221BF5"/>
    <w:rsid w:val="3FD634AE"/>
    <w:rsid w:val="3FEA39D1"/>
    <w:rsid w:val="40253294"/>
    <w:rsid w:val="403A096C"/>
    <w:rsid w:val="4080228C"/>
    <w:rsid w:val="40925627"/>
    <w:rsid w:val="409C653F"/>
    <w:rsid w:val="40B26434"/>
    <w:rsid w:val="40C9061E"/>
    <w:rsid w:val="40DE6ABE"/>
    <w:rsid w:val="412B7679"/>
    <w:rsid w:val="414D641A"/>
    <w:rsid w:val="41546D80"/>
    <w:rsid w:val="420D71AC"/>
    <w:rsid w:val="42202600"/>
    <w:rsid w:val="42644DA1"/>
    <w:rsid w:val="42C6700E"/>
    <w:rsid w:val="43073CDD"/>
    <w:rsid w:val="431D7B20"/>
    <w:rsid w:val="434D1CD9"/>
    <w:rsid w:val="44B32010"/>
    <w:rsid w:val="44C10425"/>
    <w:rsid w:val="4504286C"/>
    <w:rsid w:val="45435142"/>
    <w:rsid w:val="46A614B6"/>
    <w:rsid w:val="47357BCE"/>
    <w:rsid w:val="478704A5"/>
    <w:rsid w:val="47CD234C"/>
    <w:rsid w:val="482A7F9C"/>
    <w:rsid w:val="4875666D"/>
    <w:rsid w:val="487835F2"/>
    <w:rsid w:val="489D6874"/>
    <w:rsid w:val="48CA4C16"/>
    <w:rsid w:val="49014440"/>
    <w:rsid w:val="490E3CB9"/>
    <w:rsid w:val="49AA655D"/>
    <w:rsid w:val="49D63B69"/>
    <w:rsid w:val="4A8C74D4"/>
    <w:rsid w:val="4A9449E8"/>
    <w:rsid w:val="4AC26B09"/>
    <w:rsid w:val="4AD87C28"/>
    <w:rsid w:val="4AFD2109"/>
    <w:rsid w:val="4B074E64"/>
    <w:rsid w:val="4B10171C"/>
    <w:rsid w:val="4B307F16"/>
    <w:rsid w:val="4B5A6AA9"/>
    <w:rsid w:val="4B683330"/>
    <w:rsid w:val="4B8C5D51"/>
    <w:rsid w:val="4BFC73B7"/>
    <w:rsid w:val="4C630A67"/>
    <w:rsid w:val="4CAF79D3"/>
    <w:rsid w:val="4CB050E1"/>
    <w:rsid w:val="4CFF75D5"/>
    <w:rsid w:val="4D163C3E"/>
    <w:rsid w:val="4D1928EF"/>
    <w:rsid w:val="4D31441A"/>
    <w:rsid w:val="4D6640C3"/>
    <w:rsid w:val="4E1D0B00"/>
    <w:rsid w:val="4E9756D6"/>
    <w:rsid w:val="4EF51D77"/>
    <w:rsid w:val="4EF86F9D"/>
    <w:rsid w:val="4F9B0FCB"/>
    <w:rsid w:val="4FC74BC1"/>
    <w:rsid w:val="4FCC3F86"/>
    <w:rsid w:val="4FD176D0"/>
    <w:rsid w:val="4FEB6B02"/>
    <w:rsid w:val="4FFC425C"/>
    <w:rsid w:val="50246BE6"/>
    <w:rsid w:val="50371D47"/>
    <w:rsid w:val="50485D02"/>
    <w:rsid w:val="51081672"/>
    <w:rsid w:val="52F6132D"/>
    <w:rsid w:val="53312A7E"/>
    <w:rsid w:val="54285E64"/>
    <w:rsid w:val="548E0DEC"/>
    <w:rsid w:val="54B211D4"/>
    <w:rsid w:val="551D09CF"/>
    <w:rsid w:val="55D532B1"/>
    <w:rsid w:val="55DB3175"/>
    <w:rsid w:val="55DF0EB7"/>
    <w:rsid w:val="56010E2D"/>
    <w:rsid w:val="57186900"/>
    <w:rsid w:val="57430FD1"/>
    <w:rsid w:val="57AE2799"/>
    <w:rsid w:val="57F30293"/>
    <w:rsid w:val="58366D88"/>
    <w:rsid w:val="589B222D"/>
    <w:rsid w:val="591C1ADA"/>
    <w:rsid w:val="5958305D"/>
    <w:rsid w:val="59D52B06"/>
    <w:rsid w:val="59D80DBD"/>
    <w:rsid w:val="5A094754"/>
    <w:rsid w:val="5A310251"/>
    <w:rsid w:val="5A321CC1"/>
    <w:rsid w:val="5ADB7D2A"/>
    <w:rsid w:val="5AF30F60"/>
    <w:rsid w:val="5B1971B8"/>
    <w:rsid w:val="5BDE240E"/>
    <w:rsid w:val="5C01084E"/>
    <w:rsid w:val="5C1C2D39"/>
    <w:rsid w:val="5C47642E"/>
    <w:rsid w:val="5C6739B4"/>
    <w:rsid w:val="5C7562EE"/>
    <w:rsid w:val="5CEF0F84"/>
    <w:rsid w:val="5D0861E2"/>
    <w:rsid w:val="5D26083B"/>
    <w:rsid w:val="5D7B70EE"/>
    <w:rsid w:val="5D9B1B67"/>
    <w:rsid w:val="5DE66B5A"/>
    <w:rsid w:val="5E15134E"/>
    <w:rsid w:val="5E224037"/>
    <w:rsid w:val="5E714CB3"/>
    <w:rsid w:val="5EAE1426"/>
    <w:rsid w:val="5FB009D6"/>
    <w:rsid w:val="5FD40C2B"/>
    <w:rsid w:val="602F2A3B"/>
    <w:rsid w:val="604326ED"/>
    <w:rsid w:val="604C124A"/>
    <w:rsid w:val="60FD0443"/>
    <w:rsid w:val="60FE1CD8"/>
    <w:rsid w:val="610953C5"/>
    <w:rsid w:val="61433833"/>
    <w:rsid w:val="61910C38"/>
    <w:rsid w:val="61B067C2"/>
    <w:rsid w:val="61C13B66"/>
    <w:rsid w:val="61D90EB0"/>
    <w:rsid w:val="61E450E3"/>
    <w:rsid w:val="61F12073"/>
    <w:rsid w:val="620677CB"/>
    <w:rsid w:val="621A10E7"/>
    <w:rsid w:val="623A18A0"/>
    <w:rsid w:val="624422AE"/>
    <w:rsid w:val="6270186A"/>
    <w:rsid w:val="62DE3973"/>
    <w:rsid w:val="636E4ABC"/>
    <w:rsid w:val="641939D4"/>
    <w:rsid w:val="642E704C"/>
    <w:rsid w:val="645B0306"/>
    <w:rsid w:val="64C011E4"/>
    <w:rsid w:val="64C554BE"/>
    <w:rsid w:val="64D67929"/>
    <w:rsid w:val="65214C94"/>
    <w:rsid w:val="65263C38"/>
    <w:rsid w:val="653765C2"/>
    <w:rsid w:val="65DD51A9"/>
    <w:rsid w:val="65F04A1A"/>
    <w:rsid w:val="66762DFC"/>
    <w:rsid w:val="67095D94"/>
    <w:rsid w:val="670F7BDD"/>
    <w:rsid w:val="675D75AB"/>
    <w:rsid w:val="678E6299"/>
    <w:rsid w:val="67B02D79"/>
    <w:rsid w:val="681311C1"/>
    <w:rsid w:val="68D47E36"/>
    <w:rsid w:val="69207E48"/>
    <w:rsid w:val="69407425"/>
    <w:rsid w:val="6A1F2764"/>
    <w:rsid w:val="6A2D47F2"/>
    <w:rsid w:val="6A404CF3"/>
    <w:rsid w:val="6A556BF7"/>
    <w:rsid w:val="6A6A2BB1"/>
    <w:rsid w:val="6ABC4ECB"/>
    <w:rsid w:val="6AC0284E"/>
    <w:rsid w:val="6AFA7EFE"/>
    <w:rsid w:val="6B234F4A"/>
    <w:rsid w:val="6B2D5DC9"/>
    <w:rsid w:val="6B6478B5"/>
    <w:rsid w:val="6B755662"/>
    <w:rsid w:val="6BEE7306"/>
    <w:rsid w:val="6C2457DF"/>
    <w:rsid w:val="6C2C60FD"/>
    <w:rsid w:val="6C2D0B34"/>
    <w:rsid w:val="6C4C5660"/>
    <w:rsid w:val="6D9A57B3"/>
    <w:rsid w:val="6EE60768"/>
    <w:rsid w:val="6EF238B8"/>
    <w:rsid w:val="6F222A1D"/>
    <w:rsid w:val="6F993367"/>
    <w:rsid w:val="6FA216FF"/>
    <w:rsid w:val="6FB91E90"/>
    <w:rsid w:val="6FC827A6"/>
    <w:rsid w:val="705F07D2"/>
    <w:rsid w:val="70D25448"/>
    <w:rsid w:val="70DF2FD7"/>
    <w:rsid w:val="710D6480"/>
    <w:rsid w:val="7115424D"/>
    <w:rsid w:val="71C34D91"/>
    <w:rsid w:val="71CD3E62"/>
    <w:rsid w:val="71DC5E53"/>
    <w:rsid w:val="721F0505"/>
    <w:rsid w:val="728A58AF"/>
    <w:rsid w:val="73237CE3"/>
    <w:rsid w:val="733F48EB"/>
    <w:rsid w:val="73504D4A"/>
    <w:rsid w:val="74026044"/>
    <w:rsid w:val="742A7349"/>
    <w:rsid w:val="74463EA9"/>
    <w:rsid w:val="758346D2"/>
    <w:rsid w:val="75F82031"/>
    <w:rsid w:val="75FB28E7"/>
    <w:rsid w:val="762C5A1A"/>
    <w:rsid w:val="767825F7"/>
    <w:rsid w:val="769A01C1"/>
    <w:rsid w:val="76FC0093"/>
    <w:rsid w:val="77017364"/>
    <w:rsid w:val="77A33A0D"/>
    <w:rsid w:val="77EB0F66"/>
    <w:rsid w:val="781438F7"/>
    <w:rsid w:val="782B298A"/>
    <w:rsid w:val="78656868"/>
    <w:rsid w:val="788E21BB"/>
    <w:rsid w:val="78AC47D1"/>
    <w:rsid w:val="79050385"/>
    <w:rsid w:val="79311E8F"/>
    <w:rsid w:val="79325A7C"/>
    <w:rsid w:val="79642DD4"/>
    <w:rsid w:val="79846CED"/>
    <w:rsid w:val="799040F2"/>
    <w:rsid w:val="799D7C8F"/>
    <w:rsid w:val="79C74517"/>
    <w:rsid w:val="79D31B8D"/>
    <w:rsid w:val="79E24E87"/>
    <w:rsid w:val="7A2F6267"/>
    <w:rsid w:val="7A382419"/>
    <w:rsid w:val="7A5977C7"/>
    <w:rsid w:val="7A5A200A"/>
    <w:rsid w:val="7AD033D5"/>
    <w:rsid w:val="7AD15DB2"/>
    <w:rsid w:val="7AEA7832"/>
    <w:rsid w:val="7B684125"/>
    <w:rsid w:val="7B694BFB"/>
    <w:rsid w:val="7C3F0477"/>
    <w:rsid w:val="7D1C2A51"/>
    <w:rsid w:val="7D424CD4"/>
    <w:rsid w:val="7D7839AE"/>
    <w:rsid w:val="7DAB7DD2"/>
    <w:rsid w:val="7E9712AE"/>
    <w:rsid w:val="7E9A5566"/>
    <w:rsid w:val="7F0F1F7E"/>
    <w:rsid w:val="7F27738B"/>
    <w:rsid w:val="7F4C3BFA"/>
    <w:rsid w:val="7F744D66"/>
    <w:rsid w:val="7F761D48"/>
    <w:rsid w:val="7FDB7F04"/>
    <w:rsid w:val="AF5B881B"/>
    <w:rsid w:val="F43EC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0"/>
        <w:numId w:val="2"/>
      </w:numPr>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Indent"/>
    <w:basedOn w:val="1"/>
    <w:next w:val="10"/>
    <w:qFormat/>
    <w:uiPriority w:val="99"/>
    <w:pPr>
      <w:spacing w:after="120"/>
      <w:ind w:left="420" w:leftChars="200"/>
    </w:pPr>
    <w:rPr>
      <w:rFonts w:eastAsia="宋体"/>
      <w:kern w:val="2"/>
      <w:sz w:val="21"/>
      <w:szCs w:val="24"/>
      <w:lang w:val="en-US" w:eastAsia="zh-CN" w:bidi="ar-SA"/>
    </w:rPr>
  </w:style>
  <w:style w:type="paragraph" w:styleId="10">
    <w:name w:val="envelope return"/>
    <w:basedOn w:val="1"/>
    <w:qFormat/>
    <w:uiPriority w:val="99"/>
    <w:pPr>
      <w:snapToGrid w:val="0"/>
    </w:pPr>
    <w:rPr>
      <w:rFonts w:ascii="Arial" w:hAnsi="Arial"/>
    </w:rPr>
  </w:style>
  <w:style w:type="paragraph" w:styleId="11">
    <w:name w:val="index 4"/>
    <w:basedOn w:val="1"/>
    <w:next w:val="1"/>
    <w:unhideWhenUsed/>
    <w:qFormat/>
    <w:uiPriority w:val="99"/>
    <w:pPr>
      <w:ind w:left="600" w:leftChars="600"/>
    </w:p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3"/>
      </w:numPr>
    </w:pPr>
  </w:style>
  <w:style w:type="paragraph" w:styleId="14">
    <w:name w:val="Date"/>
    <w:basedOn w:val="1"/>
    <w:next w:val="1"/>
    <w:link w:val="67"/>
    <w:qFormat/>
    <w:uiPriority w:val="0"/>
    <w:rPr>
      <w:rFonts w:ascii="宋体" w:hAnsi="宋体"/>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Signature"/>
    <w:basedOn w:val="1"/>
    <w:qFormat/>
    <w:uiPriority w:val="0"/>
    <w:pPr>
      <w:spacing w:after="600" w:line="312" w:lineRule="atLeast"/>
      <w:jc w:val="center"/>
    </w:pPr>
    <w:rPr>
      <w:rFonts w:eastAsia="仿宋_GB2312"/>
      <w:kern w:val="0"/>
      <w:sz w:val="24"/>
    </w:rPr>
  </w:style>
  <w:style w:type="paragraph" w:styleId="17">
    <w:name w:val="toc 1"/>
    <w:basedOn w:val="1"/>
    <w:next w:val="1"/>
    <w:qFormat/>
    <w:uiPriority w:val="0"/>
  </w:style>
  <w:style w:type="paragraph" w:styleId="18">
    <w:name w:val="Normal (Web)"/>
    <w:basedOn w:val="1"/>
    <w:qFormat/>
    <w:uiPriority w:val="99"/>
    <w:pPr>
      <w:widowControl/>
      <w:spacing w:before="100" w:beforeAutospacing="1" w:after="100" w:afterAutospacing="1"/>
      <w:jc w:val="left"/>
    </w:pPr>
    <w:rPr>
      <w:kern w:val="0"/>
      <w:sz w:val="24"/>
    </w:rPr>
  </w:style>
  <w:style w:type="paragraph" w:styleId="19">
    <w:name w:val="Body Text First Indent 2"/>
    <w:basedOn w:val="9"/>
    <w:qFormat/>
    <w:uiPriority w:val="99"/>
    <w:pPr>
      <w:spacing w:after="120" w:line="240" w:lineRule="auto"/>
      <w:ind w:left="420" w:leftChars="200" w:firstLine="200" w:firstLineChars="200"/>
    </w:pPr>
    <w:rPr>
      <w:kern w:val="2"/>
      <w:sz w:val="21"/>
      <w:szCs w:val="24"/>
    </w:rPr>
  </w:style>
  <w:style w:type="table" w:styleId="21">
    <w:name w:val="Table Grid"/>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qFormat/>
    <w:uiPriority w:val="0"/>
    <w:rPr>
      <w:color w:val="333333"/>
    </w:rPr>
  </w:style>
  <w:style w:type="character" w:styleId="25">
    <w:name w:val="Emphasis"/>
    <w:qFormat/>
    <w:uiPriority w:val="0"/>
    <w:rPr>
      <w:i/>
      <w:iCs/>
    </w:rPr>
  </w:style>
  <w:style w:type="character" w:styleId="26">
    <w:name w:val="Hyperlink"/>
    <w:qFormat/>
    <w:uiPriority w:val="0"/>
    <w:rPr>
      <w:color w:val="333333"/>
    </w:rPr>
  </w:style>
  <w:style w:type="paragraph" w:customStyle="1" w:styleId="2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8">
    <w:name w:val="ListBullet2"/>
    <w:basedOn w:val="1"/>
    <w:qFormat/>
    <w:uiPriority w:val="99"/>
    <w:pPr>
      <w:numPr>
        <w:ilvl w:val="0"/>
        <w:numId w:val="4"/>
      </w:numPr>
    </w:pPr>
  </w:style>
  <w:style w:type="paragraph" w:customStyle="1" w:styleId="29">
    <w:name w:val="NormalIndent"/>
    <w:basedOn w:val="1"/>
    <w:link w:val="41"/>
    <w:qFormat/>
    <w:uiPriority w:val="0"/>
    <w:pPr>
      <w:ind w:firstLine="420"/>
      <w:jc w:val="left"/>
    </w:pPr>
    <w:rPr>
      <w:sz w:val="24"/>
    </w:rPr>
  </w:style>
  <w:style w:type="paragraph" w:customStyle="1" w:styleId="30">
    <w:name w:val="Heading1"/>
    <w:basedOn w:val="1"/>
    <w:next w:val="1"/>
    <w:link w:val="42"/>
    <w:qFormat/>
    <w:uiPriority w:val="0"/>
    <w:pPr>
      <w:keepNext/>
      <w:keepLines/>
      <w:spacing w:before="340" w:after="330" w:line="578" w:lineRule="auto"/>
    </w:pPr>
    <w:rPr>
      <w:b/>
      <w:kern w:val="44"/>
      <w:sz w:val="44"/>
    </w:rPr>
  </w:style>
  <w:style w:type="paragraph" w:customStyle="1" w:styleId="31">
    <w:name w:val="Heading2"/>
    <w:basedOn w:val="1"/>
    <w:next w:val="1"/>
    <w:link w:val="43"/>
    <w:qFormat/>
    <w:uiPriority w:val="0"/>
    <w:pPr>
      <w:keepNext/>
      <w:keepLines/>
      <w:jc w:val="left"/>
    </w:pPr>
    <w:rPr>
      <w:rFonts w:ascii="宋体" w:hAnsi="宋体"/>
      <w:b/>
    </w:rPr>
  </w:style>
  <w:style w:type="paragraph" w:customStyle="1" w:styleId="32">
    <w:name w:val="Heading3"/>
    <w:basedOn w:val="1"/>
    <w:next w:val="1"/>
    <w:link w:val="44"/>
    <w:qFormat/>
    <w:uiPriority w:val="0"/>
    <w:pPr>
      <w:keepNext/>
      <w:keepLines/>
      <w:jc w:val="left"/>
    </w:pPr>
    <w:rPr>
      <w:b/>
    </w:rPr>
  </w:style>
  <w:style w:type="paragraph" w:customStyle="1" w:styleId="33">
    <w:name w:val="Heading4"/>
    <w:basedOn w:val="1"/>
    <w:next w:val="1"/>
    <w:link w:val="45"/>
    <w:qFormat/>
    <w:uiPriority w:val="0"/>
    <w:pPr>
      <w:keepNext/>
      <w:keepLines/>
      <w:spacing w:before="280" w:after="290" w:line="372" w:lineRule="auto"/>
      <w:ind w:firstLine="200" w:firstLineChars="200"/>
    </w:pPr>
    <w:rPr>
      <w:rFonts w:ascii="Arial" w:hAnsi="Arial" w:eastAsia="黑体"/>
      <w:b/>
      <w:kern w:val="0"/>
      <w:sz w:val="28"/>
    </w:rPr>
  </w:style>
  <w:style w:type="paragraph" w:customStyle="1" w:styleId="34">
    <w:name w:val="Heading5"/>
    <w:basedOn w:val="1"/>
    <w:next w:val="29"/>
    <w:qFormat/>
    <w:uiPriority w:val="0"/>
    <w:pPr>
      <w:keepNext/>
      <w:keepLines/>
      <w:tabs>
        <w:tab w:val="left" w:pos="1008"/>
      </w:tabs>
      <w:spacing w:before="280" w:after="290" w:line="376" w:lineRule="auto"/>
      <w:ind w:left="1008" w:hanging="1008"/>
    </w:pPr>
    <w:rPr>
      <w:rFonts w:ascii="宋体" w:eastAsia="宋体"/>
      <w:b/>
      <w:spacing w:val="-2"/>
      <w:position w:val="-6"/>
      <w:sz w:val="28"/>
    </w:rPr>
  </w:style>
  <w:style w:type="paragraph" w:customStyle="1" w:styleId="35">
    <w:name w:val="Heading6"/>
    <w:basedOn w:val="1"/>
    <w:next w:val="29"/>
    <w:qFormat/>
    <w:uiPriority w:val="0"/>
    <w:pPr>
      <w:keepNext/>
      <w:keepLines/>
      <w:tabs>
        <w:tab w:val="left" w:pos="1152"/>
      </w:tabs>
      <w:spacing w:before="240" w:after="64" w:line="320" w:lineRule="auto"/>
      <w:ind w:left="1152" w:hanging="1152"/>
    </w:pPr>
    <w:rPr>
      <w:rFonts w:ascii="Arial" w:hAnsi="Arial" w:eastAsia="黑体"/>
      <w:b/>
      <w:spacing w:val="-2"/>
      <w:position w:val="-6"/>
      <w:sz w:val="24"/>
    </w:rPr>
  </w:style>
  <w:style w:type="paragraph" w:customStyle="1" w:styleId="36">
    <w:name w:val="Heading7"/>
    <w:basedOn w:val="1"/>
    <w:next w:val="29"/>
    <w:qFormat/>
    <w:uiPriority w:val="0"/>
    <w:pPr>
      <w:keepNext/>
      <w:keepLines/>
      <w:tabs>
        <w:tab w:val="left" w:pos="1296"/>
      </w:tabs>
      <w:spacing w:before="240" w:after="64" w:line="320" w:lineRule="auto"/>
      <w:ind w:left="1296" w:hanging="1296"/>
    </w:pPr>
    <w:rPr>
      <w:rFonts w:ascii="宋体" w:eastAsia="宋体"/>
      <w:b/>
      <w:spacing w:val="-2"/>
      <w:position w:val="-6"/>
      <w:sz w:val="24"/>
    </w:rPr>
  </w:style>
  <w:style w:type="paragraph" w:customStyle="1" w:styleId="37">
    <w:name w:val="Heading8"/>
    <w:basedOn w:val="1"/>
    <w:next w:val="29"/>
    <w:qFormat/>
    <w:uiPriority w:val="0"/>
    <w:pPr>
      <w:keepNext/>
      <w:keepLines/>
      <w:tabs>
        <w:tab w:val="left" w:pos="1440"/>
      </w:tabs>
      <w:spacing w:before="240" w:after="64" w:line="320" w:lineRule="auto"/>
      <w:ind w:left="1440" w:hanging="1440"/>
    </w:pPr>
    <w:rPr>
      <w:rFonts w:ascii="Arial" w:hAnsi="Arial" w:eastAsia="黑体"/>
      <w:spacing w:val="-2"/>
      <w:position w:val="-6"/>
      <w:sz w:val="24"/>
    </w:rPr>
  </w:style>
  <w:style w:type="paragraph" w:customStyle="1" w:styleId="38">
    <w:name w:val="Heading9"/>
    <w:basedOn w:val="1"/>
    <w:next w:val="29"/>
    <w:qFormat/>
    <w:uiPriority w:val="0"/>
    <w:pPr>
      <w:keepNext/>
      <w:keepLines/>
      <w:tabs>
        <w:tab w:val="left" w:pos="1584"/>
      </w:tabs>
      <w:spacing w:before="240" w:after="64" w:line="320" w:lineRule="auto"/>
      <w:ind w:left="1584" w:hanging="1584"/>
    </w:pPr>
    <w:rPr>
      <w:rFonts w:ascii="Arial" w:hAnsi="Arial" w:eastAsia="黑体"/>
      <w:spacing w:val="-2"/>
      <w:position w:val="-6"/>
      <w:sz w:val="28"/>
    </w:rPr>
  </w:style>
  <w:style w:type="character" w:customStyle="1" w:styleId="39">
    <w:name w:val="NormalCharacter"/>
    <w:qFormat/>
    <w:uiPriority w:val="0"/>
  </w:style>
  <w:style w:type="table" w:customStyle="1" w:styleId="40">
    <w:name w:val="TableNormal"/>
    <w:qFormat/>
    <w:uiPriority w:val="0"/>
    <w:tblPr>
      <w:tblCellMar>
        <w:top w:w="0" w:type="dxa"/>
        <w:left w:w="0" w:type="dxa"/>
        <w:bottom w:w="0" w:type="dxa"/>
        <w:right w:w="0" w:type="dxa"/>
      </w:tblCellMar>
    </w:tblPr>
  </w:style>
  <w:style w:type="character" w:customStyle="1" w:styleId="41">
    <w:name w:val="UserStyle_0"/>
    <w:link w:val="29"/>
    <w:qFormat/>
    <w:uiPriority w:val="0"/>
    <w:rPr>
      <w:rFonts w:eastAsia="楷体_GB2312"/>
      <w:kern w:val="2"/>
      <w:sz w:val="24"/>
      <w:lang w:val="en-US" w:eastAsia="zh-CN" w:bidi="ar-SA"/>
    </w:rPr>
  </w:style>
  <w:style w:type="character" w:customStyle="1" w:styleId="42">
    <w:name w:val="UserStyle_1"/>
    <w:link w:val="30"/>
    <w:qFormat/>
    <w:uiPriority w:val="0"/>
    <w:rPr>
      <w:rFonts w:eastAsia="楷体_GB2312"/>
      <w:b/>
      <w:kern w:val="44"/>
      <w:sz w:val="44"/>
    </w:rPr>
  </w:style>
  <w:style w:type="character" w:customStyle="1" w:styleId="43">
    <w:name w:val="UserStyle_2"/>
    <w:link w:val="31"/>
    <w:qFormat/>
    <w:uiPriority w:val="0"/>
    <w:rPr>
      <w:rFonts w:ascii="宋体" w:hAnsi="宋体" w:eastAsia="楷体_GB2312"/>
      <w:b/>
      <w:kern w:val="2"/>
      <w:sz w:val="26"/>
      <w:lang w:val="en-US" w:eastAsia="zh-CN" w:bidi="ar-SA"/>
    </w:rPr>
  </w:style>
  <w:style w:type="character" w:customStyle="1" w:styleId="44">
    <w:name w:val="UserStyle_3"/>
    <w:link w:val="32"/>
    <w:qFormat/>
    <w:uiPriority w:val="0"/>
    <w:rPr>
      <w:rFonts w:eastAsia="楷体_GB2312"/>
      <w:b/>
      <w:kern w:val="2"/>
      <w:sz w:val="26"/>
    </w:rPr>
  </w:style>
  <w:style w:type="character" w:customStyle="1" w:styleId="45">
    <w:name w:val="UserStyle_4"/>
    <w:link w:val="33"/>
    <w:qFormat/>
    <w:uiPriority w:val="0"/>
    <w:rPr>
      <w:rFonts w:ascii="Arial" w:hAnsi="Arial" w:eastAsia="黑体"/>
      <w:b/>
      <w:sz w:val="28"/>
    </w:rPr>
  </w:style>
  <w:style w:type="paragraph" w:customStyle="1" w:styleId="46">
    <w:name w:val="TOC7"/>
    <w:basedOn w:val="1"/>
    <w:next w:val="1"/>
    <w:qFormat/>
    <w:uiPriority w:val="0"/>
    <w:pPr>
      <w:ind w:left="2520"/>
    </w:pPr>
  </w:style>
  <w:style w:type="paragraph" w:customStyle="1" w:styleId="47">
    <w:name w:val="Index8"/>
    <w:basedOn w:val="1"/>
    <w:next w:val="1"/>
    <w:qFormat/>
    <w:uiPriority w:val="0"/>
    <w:pPr>
      <w:ind w:left="2940"/>
    </w:pPr>
  </w:style>
  <w:style w:type="paragraph" w:customStyle="1" w:styleId="48">
    <w:name w:val="Index5"/>
    <w:basedOn w:val="1"/>
    <w:next w:val="1"/>
    <w:qFormat/>
    <w:uiPriority w:val="0"/>
    <w:pPr>
      <w:ind w:left="1680"/>
    </w:pPr>
  </w:style>
  <w:style w:type="paragraph" w:customStyle="1" w:styleId="49">
    <w:name w:val="NavPane"/>
    <w:basedOn w:val="1"/>
    <w:link w:val="50"/>
    <w:qFormat/>
    <w:uiPriority w:val="0"/>
    <w:pPr>
      <w:shd w:val="clear" w:color="auto" w:fill="000080"/>
    </w:pPr>
  </w:style>
  <w:style w:type="character" w:customStyle="1" w:styleId="50">
    <w:name w:val="UserStyle_5"/>
    <w:link w:val="49"/>
    <w:qFormat/>
    <w:uiPriority w:val="0"/>
    <w:rPr>
      <w:rFonts w:eastAsia="楷体_GB2312"/>
      <w:kern w:val="2"/>
      <w:sz w:val="26"/>
      <w:shd w:val="clear" w:color="auto" w:fill="000080"/>
    </w:rPr>
  </w:style>
  <w:style w:type="paragraph" w:customStyle="1" w:styleId="51">
    <w:name w:val="AnnotationText"/>
    <w:basedOn w:val="1"/>
    <w:link w:val="52"/>
    <w:qFormat/>
    <w:uiPriority w:val="0"/>
    <w:pPr>
      <w:jc w:val="left"/>
    </w:pPr>
  </w:style>
  <w:style w:type="character" w:customStyle="1" w:styleId="52">
    <w:name w:val="UserStyle_6"/>
    <w:link w:val="51"/>
    <w:qFormat/>
    <w:uiPriority w:val="0"/>
    <w:rPr>
      <w:rFonts w:eastAsia="楷体_GB2312"/>
      <w:kern w:val="2"/>
      <w:sz w:val="26"/>
    </w:rPr>
  </w:style>
  <w:style w:type="paragraph" w:customStyle="1" w:styleId="53">
    <w:name w:val="Index6"/>
    <w:basedOn w:val="1"/>
    <w:next w:val="1"/>
    <w:qFormat/>
    <w:uiPriority w:val="0"/>
    <w:pPr>
      <w:ind w:left="2100"/>
    </w:pPr>
  </w:style>
  <w:style w:type="paragraph" w:customStyle="1" w:styleId="54">
    <w:name w:val="BodyText"/>
    <w:basedOn w:val="1"/>
    <w:next w:val="55"/>
    <w:qFormat/>
    <w:uiPriority w:val="0"/>
    <w:pPr>
      <w:spacing w:line="400" w:lineRule="exact"/>
    </w:pPr>
    <w:rPr>
      <w:rFonts w:ascii="楷体_GB2312"/>
      <w:sz w:val="28"/>
    </w:rPr>
  </w:style>
  <w:style w:type="paragraph" w:customStyle="1" w:styleId="55">
    <w:name w:val="UserStyle_7"/>
    <w:qFormat/>
    <w:uiPriority w:val="0"/>
    <w:pPr>
      <w:spacing w:line="360" w:lineRule="auto"/>
      <w:textAlignment w:val="baseline"/>
    </w:pPr>
    <w:rPr>
      <w:rFonts w:ascii="仿宋" w:hAnsi="仿宋" w:eastAsia="宋体" w:cs="Times New Roman"/>
      <w:color w:val="000000"/>
      <w:sz w:val="24"/>
      <w:szCs w:val="24"/>
      <w:lang w:val="en-US" w:eastAsia="zh-CN" w:bidi="ar-SA"/>
    </w:rPr>
  </w:style>
  <w:style w:type="paragraph" w:customStyle="1" w:styleId="56">
    <w:name w:val="BodyTextIndent"/>
    <w:basedOn w:val="1"/>
    <w:next w:val="57"/>
    <w:link w:val="58"/>
    <w:qFormat/>
    <w:uiPriority w:val="0"/>
    <w:pPr>
      <w:spacing w:line="520" w:lineRule="exact"/>
      <w:ind w:left="570"/>
    </w:pPr>
    <w:rPr>
      <w:rFonts w:ascii="方正仿宋简体" w:hAnsi="创艺简仿宋" w:eastAsia="方正仿宋简体"/>
      <w:sz w:val="24"/>
    </w:rPr>
  </w:style>
  <w:style w:type="paragraph" w:customStyle="1" w:styleId="57">
    <w:name w:val="EnvelopeReturn"/>
    <w:basedOn w:val="1"/>
    <w:qFormat/>
    <w:uiPriority w:val="0"/>
    <w:pPr>
      <w:snapToGrid w:val="0"/>
    </w:pPr>
    <w:rPr>
      <w:rFonts w:ascii="Arial" w:hAnsi="Arial"/>
    </w:rPr>
  </w:style>
  <w:style w:type="character" w:customStyle="1" w:styleId="58">
    <w:name w:val="UserStyle_8"/>
    <w:link w:val="56"/>
    <w:qFormat/>
    <w:uiPriority w:val="0"/>
    <w:rPr>
      <w:rFonts w:ascii="楷体_GB2312" w:eastAsia="楷体_GB2312"/>
      <w:kern w:val="2"/>
      <w:sz w:val="26"/>
    </w:rPr>
  </w:style>
  <w:style w:type="paragraph" w:customStyle="1" w:styleId="59">
    <w:name w:val="Index4"/>
    <w:basedOn w:val="1"/>
    <w:next w:val="1"/>
    <w:qFormat/>
    <w:uiPriority w:val="0"/>
    <w:pPr>
      <w:ind w:left="1260"/>
    </w:pPr>
  </w:style>
  <w:style w:type="paragraph" w:customStyle="1" w:styleId="60">
    <w:name w:val="TOC5"/>
    <w:basedOn w:val="1"/>
    <w:next w:val="1"/>
    <w:qFormat/>
    <w:uiPriority w:val="0"/>
    <w:pPr>
      <w:ind w:left="1680"/>
    </w:pPr>
  </w:style>
  <w:style w:type="paragraph" w:customStyle="1" w:styleId="61">
    <w:name w:val="TOC3"/>
    <w:basedOn w:val="1"/>
    <w:next w:val="1"/>
    <w:link w:val="62"/>
    <w:qFormat/>
    <w:uiPriority w:val="0"/>
    <w:pPr>
      <w:ind w:left="840"/>
    </w:pPr>
  </w:style>
  <w:style w:type="character" w:customStyle="1" w:styleId="62">
    <w:name w:val="UserStyle_9"/>
    <w:link w:val="61"/>
    <w:qFormat/>
    <w:uiPriority w:val="0"/>
    <w:rPr>
      <w:rFonts w:eastAsia="楷体_GB2312"/>
      <w:kern w:val="2"/>
      <w:sz w:val="26"/>
    </w:rPr>
  </w:style>
  <w:style w:type="paragraph" w:customStyle="1" w:styleId="63">
    <w:name w:val="PlainText"/>
    <w:basedOn w:val="1"/>
    <w:link w:val="64"/>
    <w:qFormat/>
    <w:uiPriority w:val="0"/>
    <w:rPr>
      <w:rFonts w:ascii="宋体" w:hAnsi="Courier New"/>
    </w:rPr>
  </w:style>
  <w:style w:type="character" w:customStyle="1" w:styleId="64">
    <w:name w:val="UserStyle_10"/>
    <w:link w:val="63"/>
    <w:qFormat/>
    <w:uiPriority w:val="0"/>
    <w:rPr>
      <w:rFonts w:ascii="宋体" w:hAnsi="Courier New" w:eastAsia="楷体_GB2312"/>
      <w:kern w:val="2"/>
      <w:sz w:val="26"/>
      <w:lang w:val="en-US" w:eastAsia="zh-CN" w:bidi="ar-SA"/>
    </w:rPr>
  </w:style>
  <w:style w:type="paragraph" w:customStyle="1" w:styleId="65">
    <w:name w:val="TOC8"/>
    <w:basedOn w:val="1"/>
    <w:next w:val="1"/>
    <w:qFormat/>
    <w:uiPriority w:val="0"/>
    <w:pPr>
      <w:ind w:left="2940"/>
    </w:pPr>
  </w:style>
  <w:style w:type="paragraph" w:customStyle="1" w:styleId="66">
    <w:name w:val="Index3"/>
    <w:basedOn w:val="1"/>
    <w:next w:val="1"/>
    <w:qFormat/>
    <w:uiPriority w:val="0"/>
    <w:pPr>
      <w:ind w:left="840"/>
    </w:pPr>
  </w:style>
  <w:style w:type="character" w:customStyle="1" w:styleId="67">
    <w:name w:val="日期 Char"/>
    <w:link w:val="14"/>
    <w:qFormat/>
    <w:uiPriority w:val="0"/>
    <w:rPr>
      <w:rFonts w:ascii="宋体" w:hAnsi="宋体" w:eastAsia="楷体_GB2312"/>
      <w:kern w:val="2"/>
      <w:sz w:val="24"/>
    </w:rPr>
  </w:style>
  <w:style w:type="paragraph" w:customStyle="1" w:styleId="68">
    <w:name w:val="BodyTextIndent2"/>
    <w:basedOn w:val="1"/>
    <w:qFormat/>
    <w:uiPriority w:val="0"/>
    <w:pPr>
      <w:tabs>
        <w:tab w:val="left" w:pos="0"/>
      </w:tabs>
      <w:ind w:firstLine="502" w:firstLineChars="209"/>
    </w:pPr>
    <w:rPr>
      <w:rFonts w:ascii="宋体" w:eastAsia="宋体"/>
      <w:b/>
      <w:bCs/>
      <w:sz w:val="24"/>
    </w:rPr>
  </w:style>
  <w:style w:type="paragraph" w:customStyle="1" w:styleId="69">
    <w:name w:val="Acetate"/>
    <w:basedOn w:val="1"/>
    <w:link w:val="70"/>
    <w:qFormat/>
    <w:uiPriority w:val="0"/>
    <w:rPr>
      <w:sz w:val="18"/>
      <w:szCs w:val="18"/>
    </w:rPr>
  </w:style>
  <w:style w:type="character" w:customStyle="1" w:styleId="70">
    <w:name w:val="UserStyle_12"/>
    <w:link w:val="69"/>
    <w:qFormat/>
    <w:uiPriority w:val="0"/>
    <w:rPr>
      <w:rFonts w:eastAsia="楷体_GB2312"/>
      <w:kern w:val="2"/>
      <w:sz w:val="18"/>
      <w:szCs w:val="18"/>
    </w:rPr>
  </w:style>
  <w:style w:type="paragraph" w:customStyle="1" w:styleId="71">
    <w:name w:val="Footer"/>
    <w:basedOn w:val="1"/>
    <w:link w:val="72"/>
    <w:qFormat/>
    <w:uiPriority w:val="0"/>
    <w:pPr>
      <w:tabs>
        <w:tab w:val="center" w:pos="4153"/>
        <w:tab w:val="right" w:pos="8306"/>
      </w:tabs>
      <w:snapToGrid w:val="0"/>
      <w:jc w:val="left"/>
    </w:pPr>
    <w:rPr>
      <w:sz w:val="18"/>
    </w:rPr>
  </w:style>
  <w:style w:type="character" w:customStyle="1" w:styleId="72">
    <w:name w:val="UserStyle_13"/>
    <w:link w:val="71"/>
    <w:qFormat/>
    <w:uiPriority w:val="0"/>
    <w:rPr>
      <w:rFonts w:eastAsia="楷体_GB2312"/>
      <w:kern w:val="2"/>
      <w:sz w:val="18"/>
    </w:rPr>
  </w:style>
  <w:style w:type="paragraph" w:customStyle="1" w:styleId="73">
    <w:name w:val="Header"/>
    <w:basedOn w:val="1"/>
    <w:link w:val="74"/>
    <w:qFormat/>
    <w:uiPriority w:val="0"/>
    <w:pPr>
      <w:pBdr>
        <w:bottom w:val="single" w:color="000000" w:sz="6" w:space="1"/>
      </w:pBdr>
      <w:tabs>
        <w:tab w:val="center" w:pos="4153"/>
        <w:tab w:val="right" w:pos="8306"/>
      </w:tabs>
      <w:snapToGrid w:val="0"/>
      <w:jc w:val="center"/>
    </w:pPr>
    <w:rPr>
      <w:sz w:val="18"/>
    </w:rPr>
  </w:style>
  <w:style w:type="character" w:customStyle="1" w:styleId="74">
    <w:name w:val="UserStyle_14"/>
    <w:link w:val="73"/>
    <w:qFormat/>
    <w:uiPriority w:val="0"/>
    <w:rPr>
      <w:rFonts w:eastAsia="楷体_GB2312"/>
      <w:kern w:val="2"/>
      <w:sz w:val="18"/>
    </w:rPr>
  </w:style>
  <w:style w:type="paragraph" w:customStyle="1" w:styleId="75">
    <w:name w:val="TOC1"/>
    <w:basedOn w:val="1"/>
    <w:next w:val="1"/>
    <w:qFormat/>
    <w:uiPriority w:val="0"/>
    <w:pPr>
      <w:jc w:val="left"/>
    </w:pPr>
    <w:rPr>
      <w:sz w:val="24"/>
    </w:rPr>
  </w:style>
  <w:style w:type="paragraph" w:customStyle="1" w:styleId="76">
    <w:name w:val="TOC4"/>
    <w:basedOn w:val="1"/>
    <w:next w:val="1"/>
    <w:qFormat/>
    <w:uiPriority w:val="0"/>
    <w:pPr>
      <w:ind w:left="1260"/>
    </w:pPr>
  </w:style>
  <w:style w:type="paragraph" w:customStyle="1" w:styleId="77">
    <w:name w:val="IndexHeading"/>
    <w:basedOn w:val="1"/>
    <w:next w:val="78"/>
    <w:qFormat/>
    <w:uiPriority w:val="0"/>
  </w:style>
  <w:style w:type="paragraph" w:customStyle="1" w:styleId="78">
    <w:name w:val="Index1"/>
    <w:basedOn w:val="1"/>
    <w:next w:val="1"/>
    <w:qFormat/>
    <w:uiPriority w:val="0"/>
  </w:style>
  <w:style w:type="paragraph" w:customStyle="1" w:styleId="79">
    <w:name w:val="FootnoteText"/>
    <w:basedOn w:val="1"/>
    <w:qFormat/>
    <w:uiPriority w:val="0"/>
    <w:pPr>
      <w:snapToGrid w:val="0"/>
      <w:jc w:val="left"/>
    </w:pPr>
    <w:rPr>
      <w:sz w:val="18"/>
    </w:rPr>
  </w:style>
  <w:style w:type="paragraph" w:customStyle="1" w:styleId="80">
    <w:name w:val="TOC6"/>
    <w:basedOn w:val="1"/>
    <w:next w:val="1"/>
    <w:qFormat/>
    <w:uiPriority w:val="0"/>
    <w:pPr>
      <w:ind w:left="2100"/>
    </w:pPr>
  </w:style>
  <w:style w:type="paragraph" w:customStyle="1" w:styleId="81">
    <w:name w:val="BodyTextIndent3"/>
    <w:basedOn w:val="1"/>
    <w:qFormat/>
    <w:uiPriority w:val="0"/>
    <w:pPr>
      <w:ind w:firstLine="617" w:firstLineChars="257"/>
    </w:pPr>
    <w:rPr>
      <w:rFonts w:eastAsia="宋体"/>
      <w:sz w:val="24"/>
      <w:szCs w:val="24"/>
    </w:rPr>
  </w:style>
  <w:style w:type="paragraph" w:customStyle="1" w:styleId="82">
    <w:name w:val="Index7"/>
    <w:basedOn w:val="1"/>
    <w:next w:val="1"/>
    <w:qFormat/>
    <w:uiPriority w:val="0"/>
    <w:pPr>
      <w:ind w:left="2520"/>
    </w:pPr>
  </w:style>
  <w:style w:type="paragraph" w:customStyle="1" w:styleId="83">
    <w:name w:val="Index9"/>
    <w:basedOn w:val="1"/>
    <w:next w:val="1"/>
    <w:qFormat/>
    <w:uiPriority w:val="0"/>
    <w:pPr>
      <w:ind w:left="3360"/>
    </w:pPr>
  </w:style>
  <w:style w:type="paragraph" w:customStyle="1" w:styleId="84">
    <w:name w:val="ToCaption"/>
    <w:basedOn w:val="1"/>
    <w:next w:val="1"/>
    <w:qFormat/>
    <w:uiPriority w:val="0"/>
    <w:pPr>
      <w:ind w:left="420" w:hanging="420"/>
      <w:jc w:val="left"/>
    </w:pPr>
    <w:rPr>
      <w:smallCaps/>
      <w:sz w:val="24"/>
    </w:rPr>
  </w:style>
  <w:style w:type="paragraph" w:customStyle="1" w:styleId="85">
    <w:name w:val="TOC2"/>
    <w:basedOn w:val="1"/>
    <w:next w:val="1"/>
    <w:qFormat/>
    <w:uiPriority w:val="0"/>
    <w:pPr>
      <w:ind w:left="420"/>
    </w:pPr>
  </w:style>
  <w:style w:type="paragraph" w:customStyle="1" w:styleId="86">
    <w:name w:val="TOC9"/>
    <w:basedOn w:val="1"/>
    <w:next w:val="1"/>
    <w:qFormat/>
    <w:uiPriority w:val="0"/>
    <w:pPr>
      <w:ind w:left="3360"/>
    </w:pPr>
  </w:style>
  <w:style w:type="paragraph" w:customStyle="1" w:styleId="87">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88">
    <w:name w:val="HtmlNormal"/>
    <w:basedOn w:val="1"/>
    <w:link w:val="89"/>
    <w:qFormat/>
    <w:uiPriority w:val="0"/>
    <w:rPr>
      <w:sz w:val="24"/>
      <w:szCs w:val="24"/>
    </w:rPr>
  </w:style>
  <w:style w:type="character" w:customStyle="1" w:styleId="89">
    <w:name w:val="UserStyle_15"/>
    <w:link w:val="88"/>
    <w:qFormat/>
    <w:uiPriority w:val="0"/>
    <w:rPr>
      <w:rFonts w:eastAsia="楷体_GB2312"/>
      <w:kern w:val="2"/>
      <w:sz w:val="24"/>
      <w:szCs w:val="24"/>
    </w:rPr>
  </w:style>
  <w:style w:type="paragraph" w:customStyle="1" w:styleId="90">
    <w:name w:val="Index2"/>
    <w:basedOn w:val="1"/>
    <w:next w:val="1"/>
    <w:qFormat/>
    <w:uiPriority w:val="0"/>
    <w:pPr>
      <w:ind w:left="420"/>
    </w:pPr>
  </w:style>
  <w:style w:type="paragraph" w:customStyle="1" w:styleId="91">
    <w:name w:val="AnnotationSubject"/>
    <w:basedOn w:val="51"/>
    <w:next w:val="51"/>
    <w:qFormat/>
    <w:uiPriority w:val="0"/>
    <w:rPr>
      <w:b/>
      <w:bCs/>
    </w:rPr>
  </w:style>
  <w:style w:type="paragraph" w:customStyle="1" w:styleId="92">
    <w:name w:val="BodyText1I2"/>
    <w:basedOn w:val="56"/>
    <w:link w:val="93"/>
    <w:qFormat/>
    <w:uiPriority w:val="0"/>
    <w:pPr>
      <w:ind w:firstLine="420" w:firstLineChars="200"/>
    </w:pPr>
  </w:style>
  <w:style w:type="character" w:customStyle="1" w:styleId="93">
    <w:name w:val="UserStyle_16"/>
    <w:link w:val="92"/>
    <w:qFormat/>
    <w:uiPriority w:val="0"/>
    <w:rPr>
      <w:rFonts w:ascii="楷体_GB2312" w:eastAsia="楷体_GB2312"/>
      <w:kern w:val="2"/>
      <w:sz w:val="26"/>
    </w:rPr>
  </w:style>
  <w:style w:type="table" w:customStyle="1" w:styleId="94">
    <w:name w:val="TableGrid"/>
    <w:basedOn w:val="40"/>
    <w:qFormat/>
    <w:uiPriority w:val="0"/>
    <w:tblPr>
      <w:tblCellMar>
        <w:top w:w="0" w:type="dxa"/>
        <w:left w:w="0" w:type="dxa"/>
        <w:bottom w:w="0" w:type="dxa"/>
        <w:right w:w="0" w:type="dxa"/>
      </w:tblCellMar>
    </w:tblPr>
  </w:style>
  <w:style w:type="character" w:customStyle="1" w:styleId="95">
    <w:name w:val="PageNumber"/>
    <w:qFormat/>
    <w:uiPriority w:val="0"/>
  </w:style>
  <w:style w:type="character" w:customStyle="1" w:styleId="96">
    <w:name w:val="LineNumber"/>
    <w:qFormat/>
    <w:uiPriority w:val="0"/>
  </w:style>
  <w:style w:type="character" w:customStyle="1" w:styleId="97">
    <w:name w:val="HtmlDfn"/>
    <w:qFormat/>
    <w:uiPriority w:val="0"/>
    <w:rPr>
      <w:i/>
    </w:rPr>
  </w:style>
  <w:style w:type="character" w:customStyle="1" w:styleId="98">
    <w:name w:val="HtmlCode"/>
    <w:qFormat/>
    <w:uiPriority w:val="0"/>
    <w:rPr>
      <w:rFonts w:ascii="Menlo" w:hAnsi="Menlo" w:eastAsia="Menlo"/>
      <w:color w:val="C7254E"/>
      <w:sz w:val="21"/>
      <w:szCs w:val="21"/>
      <w:shd w:val="clear" w:color="auto" w:fill="F9F2F4"/>
    </w:rPr>
  </w:style>
  <w:style w:type="character" w:customStyle="1" w:styleId="99">
    <w:name w:val="AnnotationReference"/>
    <w:qFormat/>
    <w:uiPriority w:val="0"/>
    <w:rPr>
      <w:sz w:val="21"/>
      <w:szCs w:val="21"/>
    </w:rPr>
  </w:style>
  <w:style w:type="character" w:customStyle="1" w:styleId="100">
    <w:name w:val="HtmlCite"/>
    <w:qFormat/>
    <w:uiPriority w:val="0"/>
  </w:style>
  <w:style w:type="character" w:customStyle="1" w:styleId="101">
    <w:name w:val="FootnoteReference"/>
    <w:qFormat/>
    <w:uiPriority w:val="0"/>
    <w:rPr>
      <w:vertAlign w:val="superscript"/>
    </w:rPr>
  </w:style>
  <w:style w:type="character" w:customStyle="1" w:styleId="102">
    <w:name w:val="HtmlKbd"/>
    <w:qFormat/>
    <w:uiPriority w:val="0"/>
    <w:rPr>
      <w:rFonts w:ascii="Menlo" w:hAnsi="Menlo" w:eastAsia="Menlo"/>
      <w:sz w:val="21"/>
      <w:szCs w:val="21"/>
    </w:rPr>
  </w:style>
  <w:style w:type="character" w:customStyle="1" w:styleId="103">
    <w:name w:val="htmlSamp"/>
    <w:qFormat/>
    <w:uiPriority w:val="0"/>
    <w:rPr>
      <w:rFonts w:ascii="Menlo" w:hAnsi="Menlo" w:eastAsia="Menlo"/>
      <w:sz w:val="21"/>
      <w:szCs w:val="21"/>
    </w:rPr>
  </w:style>
  <w:style w:type="paragraph" w:customStyle="1" w:styleId="104">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character" w:customStyle="1" w:styleId="105">
    <w:name w:val="UserStyle_18"/>
    <w:qFormat/>
    <w:uiPriority w:val="0"/>
    <w:rPr>
      <w:rFonts w:ascii="方正仿宋简体" w:hAnsi="创艺简仿宋" w:eastAsia="方正仿宋简体"/>
      <w:kern w:val="2"/>
      <w:sz w:val="24"/>
      <w:lang w:val="en-US" w:eastAsia="zh-CN" w:bidi="ar-SA"/>
    </w:rPr>
  </w:style>
  <w:style w:type="character" w:customStyle="1" w:styleId="106">
    <w:name w:val="UserStyle_19"/>
    <w:qFormat/>
    <w:uiPriority w:val="0"/>
    <w:rPr>
      <w:b/>
      <w:color w:val="FFFFFF"/>
      <w:sz w:val="19"/>
      <w:szCs w:val="19"/>
    </w:rPr>
  </w:style>
  <w:style w:type="character" w:customStyle="1" w:styleId="107">
    <w:name w:val="UserStyle_20"/>
    <w:qFormat/>
    <w:uiPriority w:val="0"/>
  </w:style>
  <w:style w:type="character" w:customStyle="1" w:styleId="108">
    <w:name w:val="UserStyle_21"/>
    <w:qFormat/>
    <w:uiPriority w:val="0"/>
    <w:rPr>
      <w:color w:val="FFFFFF"/>
      <w:shd w:val="clear" w:color="auto" w:fill="776666"/>
    </w:rPr>
  </w:style>
  <w:style w:type="character" w:customStyle="1" w:styleId="109">
    <w:name w:val="UserStyle_22"/>
    <w:qFormat/>
    <w:uiPriority w:val="0"/>
  </w:style>
  <w:style w:type="character" w:customStyle="1" w:styleId="110">
    <w:name w:val="UserStyle_23"/>
    <w:qFormat/>
    <w:uiPriority w:val="0"/>
    <w:rPr>
      <w:rFonts w:ascii="宋体" w:hAnsi="宋体" w:eastAsia="楷体_GB2312"/>
      <w:b/>
      <w:kern w:val="2"/>
      <w:sz w:val="26"/>
      <w:lang w:val="en-US" w:eastAsia="zh-CN" w:bidi="ar-SA"/>
    </w:rPr>
  </w:style>
  <w:style w:type="character" w:customStyle="1" w:styleId="111">
    <w:name w:val="UserStyle_24"/>
    <w:qFormat/>
    <w:uiPriority w:val="0"/>
    <w:rPr>
      <w:shd w:val="clear" w:color="auto" w:fill="FF0000"/>
    </w:rPr>
  </w:style>
  <w:style w:type="character" w:customStyle="1" w:styleId="112">
    <w:name w:val="UserStyle_25"/>
    <w:qFormat/>
    <w:uiPriority w:val="0"/>
    <w:rPr>
      <w:rFonts w:ascii="宋体" w:hAnsi="宋体" w:eastAsia="宋体"/>
      <w:color w:val="FF0000"/>
      <w:sz w:val="20"/>
      <w:szCs w:val="20"/>
    </w:rPr>
  </w:style>
  <w:style w:type="character" w:customStyle="1" w:styleId="113">
    <w:name w:val="UserStyle_26"/>
    <w:qFormat/>
    <w:uiPriority w:val="0"/>
  </w:style>
  <w:style w:type="character" w:customStyle="1" w:styleId="114">
    <w:name w:val="UserStyle_27"/>
    <w:qFormat/>
    <w:uiPriority w:val="0"/>
  </w:style>
  <w:style w:type="character" w:customStyle="1" w:styleId="115">
    <w:name w:val="UserStyle_28"/>
    <w:qFormat/>
    <w:uiPriority w:val="0"/>
    <w:rPr>
      <w:rFonts w:ascii="宋体" w:hAnsi="宋体" w:eastAsia="宋体"/>
    </w:rPr>
  </w:style>
  <w:style w:type="character" w:customStyle="1" w:styleId="116">
    <w:name w:val="UserStyle_29"/>
    <w:qFormat/>
    <w:uiPriority w:val="0"/>
    <w:rPr>
      <w:rFonts w:ascii="宋体" w:hAnsi="宋体" w:eastAsia="宋体"/>
    </w:rPr>
  </w:style>
  <w:style w:type="character" w:customStyle="1" w:styleId="117">
    <w:name w:val="UserStyle_30"/>
    <w:qFormat/>
    <w:uiPriority w:val="0"/>
  </w:style>
  <w:style w:type="character" w:customStyle="1" w:styleId="118">
    <w:name w:val="UserStyle_31"/>
    <w:qFormat/>
    <w:uiPriority w:val="0"/>
    <w:rPr>
      <w:color w:val="FFFFFF"/>
      <w:shd w:val="clear" w:color="auto" w:fill="776666"/>
    </w:rPr>
  </w:style>
  <w:style w:type="character" w:customStyle="1" w:styleId="119">
    <w:name w:val="UserStyle_32"/>
    <w:link w:val="120"/>
    <w:qFormat/>
    <w:uiPriority w:val="0"/>
    <w:rPr>
      <w:rFonts w:ascii="仿宋_GB2312" w:hAnsi="宋体" w:eastAsia="仿宋_GB2312"/>
      <w:kern w:val="2"/>
      <w:sz w:val="31"/>
      <w:szCs w:val="28"/>
    </w:rPr>
  </w:style>
  <w:style w:type="paragraph" w:customStyle="1" w:styleId="120">
    <w:name w:val="UserStyle_33"/>
    <w:basedOn w:val="1"/>
    <w:link w:val="119"/>
    <w:qFormat/>
    <w:uiPriority w:val="0"/>
    <w:pPr>
      <w:spacing w:line="600" w:lineRule="exact"/>
      <w:ind w:firstLine="639" w:firstLineChars="206"/>
    </w:pPr>
    <w:rPr>
      <w:rFonts w:ascii="仿宋_GB2312" w:hAnsi="宋体" w:eastAsia="仿宋_GB2312"/>
      <w:sz w:val="31"/>
      <w:szCs w:val="28"/>
    </w:rPr>
  </w:style>
  <w:style w:type="character" w:customStyle="1" w:styleId="121">
    <w:name w:val="UserStyle_34"/>
    <w:qFormat/>
    <w:uiPriority w:val="0"/>
  </w:style>
  <w:style w:type="character" w:customStyle="1" w:styleId="122">
    <w:name w:val="UserStyle_35"/>
    <w:qFormat/>
    <w:uiPriority w:val="0"/>
  </w:style>
  <w:style w:type="character" w:customStyle="1" w:styleId="123">
    <w:name w:val="UserStyle_36"/>
    <w:qFormat/>
    <w:uiPriority w:val="0"/>
    <w:rPr>
      <w:rFonts w:ascii="宋体" w:hAnsi="宋体" w:eastAsia="宋体"/>
      <w:b/>
      <w:color w:val="000000"/>
      <w:sz w:val="20"/>
      <w:szCs w:val="20"/>
    </w:rPr>
  </w:style>
  <w:style w:type="character" w:customStyle="1" w:styleId="124">
    <w:name w:val="UserStyle_37"/>
    <w:qFormat/>
    <w:uiPriority w:val="0"/>
    <w:rPr>
      <w:b/>
      <w:color w:val="FFFFFF"/>
      <w:sz w:val="21"/>
      <w:szCs w:val="21"/>
    </w:rPr>
  </w:style>
  <w:style w:type="character" w:customStyle="1" w:styleId="125">
    <w:name w:val="UserStyle_38"/>
    <w:qFormat/>
    <w:uiPriority w:val="0"/>
    <w:rPr>
      <w:color w:val="00FF00"/>
      <w:shd w:val="clear" w:color="auto" w:fill="000000"/>
    </w:rPr>
  </w:style>
  <w:style w:type="character" w:customStyle="1" w:styleId="126">
    <w:name w:val="UserStyle_39"/>
    <w:qFormat/>
    <w:uiPriority w:val="0"/>
    <w:rPr>
      <w:rFonts w:ascii="宋体" w:hAnsi="宋体" w:eastAsia="宋体"/>
      <w:color w:val="000000"/>
      <w:sz w:val="20"/>
      <w:szCs w:val="20"/>
    </w:rPr>
  </w:style>
  <w:style w:type="character" w:customStyle="1" w:styleId="127">
    <w:name w:val="UserStyle_40"/>
    <w:qFormat/>
    <w:uiPriority w:val="0"/>
  </w:style>
  <w:style w:type="character" w:customStyle="1" w:styleId="128">
    <w:name w:val="UserStyle_41"/>
    <w:qFormat/>
    <w:uiPriority w:val="0"/>
  </w:style>
  <w:style w:type="character" w:customStyle="1" w:styleId="129">
    <w:name w:val="UserStyle_42"/>
    <w:qFormat/>
    <w:uiPriority w:val="0"/>
    <w:rPr>
      <w:color w:val="00FF00"/>
      <w:shd w:val="clear" w:color="auto" w:fill="000000"/>
    </w:rPr>
  </w:style>
  <w:style w:type="paragraph" w:customStyle="1" w:styleId="130">
    <w:name w:val="UserStyle_43"/>
    <w:basedOn w:val="1"/>
    <w:qFormat/>
    <w:uiPriority w:val="0"/>
    <w:pPr>
      <w:ind w:firstLine="420" w:firstLineChars="200"/>
    </w:pPr>
    <w:rPr>
      <w:rFonts w:ascii="Calibri" w:hAnsi="Calibri" w:eastAsia="宋体"/>
      <w:szCs w:val="22"/>
    </w:rPr>
  </w:style>
  <w:style w:type="paragraph" w:customStyle="1" w:styleId="131">
    <w:name w:val="UserStyle_44"/>
    <w:basedOn w:val="1"/>
    <w:qFormat/>
    <w:uiPriority w:val="0"/>
    <w:rPr>
      <w:rFonts w:eastAsia="宋体"/>
      <w:kern w:val="0"/>
      <w:sz w:val="21"/>
      <w:szCs w:val="21"/>
    </w:rPr>
  </w:style>
  <w:style w:type="paragraph" w:customStyle="1" w:styleId="132">
    <w:name w:val="179"/>
    <w:basedOn w:val="1"/>
    <w:link w:val="133"/>
    <w:qFormat/>
    <w:uiPriority w:val="0"/>
    <w:pPr>
      <w:ind w:firstLine="420" w:firstLineChars="200"/>
    </w:pPr>
    <w:rPr>
      <w:rFonts w:eastAsia="宋体"/>
      <w:sz w:val="21"/>
      <w:szCs w:val="24"/>
    </w:rPr>
  </w:style>
  <w:style w:type="character" w:customStyle="1" w:styleId="133">
    <w:name w:val="UserStyle_45"/>
    <w:link w:val="132"/>
    <w:qFormat/>
    <w:uiPriority w:val="0"/>
    <w:rPr>
      <w:kern w:val="2"/>
      <w:sz w:val="21"/>
      <w:szCs w:val="24"/>
    </w:rPr>
  </w:style>
  <w:style w:type="paragraph" w:customStyle="1" w:styleId="134">
    <w:name w:val="UserStyle_46"/>
    <w:basedOn w:val="1"/>
    <w:qFormat/>
    <w:uiPriority w:val="0"/>
    <w:rPr>
      <w:rFonts w:ascii="宋体" w:hAnsi="Courier New"/>
      <w:sz w:val="28"/>
    </w:rPr>
  </w:style>
  <w:style w:type="paragraph" w:customStyle="1" w:styleId="135">
    <w:name w:val="UserStyle_47"/>
    <w:basedOn w:val="49"/>
    <w:qFormat/>
    <w:uiPriority w:val="0"/>
    <w:pPr>
      <w:snapToGrid w:val="0"/>
    </w:pPr>
    <w:rPr>
      <w:rFonts w:ascii="Tahoma" w:hAnsi="Tahoma" w:eastAsia="宋体"/>
      <w:sz w:val="24"/>
      <w:szCs w:val="24"/>
    </w:rPr>
  </w:style>
  <w:style w:type="paragraph" w:customStyle="1" w:styleId="136">
    <w:name w:val="UserStyle_48"/>
    <w:basedOn w:val="1"/>
    <w:qFormat/>
    <w:uiPriority w:val="0"/>
    <w:rPr>
      <w:rFonts w:ascii="Tahoma" w:hAnsi="Tahoma"/>
      <w:sz w:val="24"/>
    </w:rPr>
  </w:style>
  <w:style w:type="paragraph" w:customStyle="1" w:styleId="137">
    <w:name w:val="UserStyle_49"/>
    <w:basedOn w:val="1"/>
    <w:qFormat/>
    <w:uiPriority w:val="0"/>
    <w:pPr>
      <w:spacing w:after="160" w:line="240" w:lineRule="exact"/>
      <w:jc w:val="left"/>
    </w:pPr>
    <w:rPr>
      <w:rFonts w:ascii="Verdana" w:hAnsi="Verdana" w:eastAsia="宋体"/>
      <w:kern w:val="0"/>
      <w:sz w:val="21"/>
      <w:lang w:eastAsia="en-US"/>
    </w:rPr>
  </w:style>
  <w:style w:type="paragraph" w:customStyle="1" w:styleId="138">
    <w:name w:val="UserStyle_50"/>
    <w:basedOn w:val="1"/>
    <w:qFormat/>
    <w:uiPriority w:val="0"/>
    <w:rPr>
      <w:rFonts w:ascii="Tahoma" w:hAnsi="Tahoma" w:eastAsia="宋体"/>
      <w:sz w:val="24"/>
    </w:rPr>
  </w:style>
  <w:style w:type="paragraph" w:customStyle="1" w:styleId="139">
    <w:name w:val="UserStyle_51"/>
    <w:basedOn w:val="1"/>
    <w:qFormat/>
    <w:uiPriority w:val="0"/>
    <w:pPr>
      <w:keepNext/>
      <w:spacing w:before="60" w:after="60" w:line="300" w:lineRule="auto"/>
      <w:jc w:val="center"/>
      <w:textAlignment w:val="center"/>
    </w:pPr>
    <w:rPr>
      <w:rFonts w:eastAsia="宋体"/>
      <w:spacing w:val="20"/>
      <w:kern w:val="0"/>
      <w:sz w:val="24"/>
    </w:rPr>
  </w:style>
  <w:style w:type="paragraph" w:customStyle="1" w:styleId="140">
    <w:name w:val="UserStyle_52"/>
    <w:basedOn w:val="1"/>
    <w:qFormat/>
    <w:uiPriority w:val="0"/>
    <w:rPr>
      <w:rFonts w:ascii="宋体" w:hAnsi="Courier New"/>
    </w:rPr>
  </w:style>
  <w:style w:type="paragraph" w:customStyle="1" w:styleId="141">
    <w:name w:val="UserStyle_53"/>
    <w:basedOn w:val="1"/>
    <w:qFormat/>
    <w:uiPriority w:val="0"/>
    <w:rPr>
      <w:rFonts w:ascii="仿宋" w:hAnsi="仿宋" w:eastAsia="仿宋"/>
      <w:sz w:val="21"/>
      <w:szCs w:val="22"/>
      <w:lang w:val="zh-CN" w:bidi="zh-CN"/>
    </w:rPr>
  </w:style>
  <w:style w:type="character" w:customStyle="1" w:styleId="142">
    <w:name w:val="UserStyle_54"/>
    <w:qFormat/>
    <w:uiPriority w:val="0"/>
    <w:rPr>
      <w:rFonts w:ascii="宋体" w:hAnsi="宋体" w:eastAsia="宋体"/>
      <w:color w:val="000000"/>
      <w:sz w:val="20"/>
      <w:szCs w:val="20"/>
    </w:rPr>
  </w:style>
  <w:style w:type="character" w:customStyle="1" w:styleId="143">
    <w:name w:val="UserStyle_55"/>
    <w:qFormat/>
    <w:uiPriority w:val="0"/>
    <w:rPr>
      <w:rFonts w:ascii="宋体" w:hAnsi="宋体" w:eastAsia="宋体"/>
      <w:color w:val="000000"/>
      <w:sz w:val="28"/>
    </w:rPr>
  </w:style>
  <w:style w:type="character" w:customStyle="1" w:styleId="144">
    <w:name w:val="UserStyle_56"/>
    <w:qFormat/>
    <w:uiPriority w:val="0"/>
    <w:rPr>
      <w:rFonts w:ascii="宋体" w:hAnsi="宋体" w:eastAsia="宋体"/>
      <w:b/>
      <w:color w:val="000000"/>
      <w:sz w:val="18"/>
    </w:rPr>
  </w:style>
  <w:style w:type="character" w:customStyle="1" w:styleId="145">
    <w:name w:val="UserStyle_57"/>
    <w:qFormat/>
    <w:uiPriority w:val="0"/>
    <w:rPr>
      <w:rFonts w:ascii="宋体" w:hAnsi="宋体" w:eastAsia="宋体"/>
      <w:color w:val="000000"/>
      <w:sz w:val="20"/>
      <w:szCs w:val="20"/>
      <w:vertAlign w:val="superscript"/>
    </w:rPr>
  </w:style>
  <w:style w:type="character" w:customStyle="1" w:styleId="146">
    <w:name w:val="UserStyle_58"/>
    <w:qFormat/>
    <w:uiPriority w:val="0"/>
    <w:rPr>
      <w:rFonts w:eastAsia="楷体_GB2312"/>
      <w:kern w:val="2"/>
      <w:sz w:val="26"/>
    </w:rPr>
  </w:style>
  <w:style w:type="character" w:customStyle="1" w:styleId="147">
    <w:name w:val="UserStyle_59"/>
    <w:qFormat/>
    <w:uiPriority w:val="0"/>
    <w:rPr>
      <w:rFonts w:ascii="微软雅黑" w:hAnsi="微软雅黑" w:eastAsia="微软雅黑"/>
      <w:color w:val="000000"/>
      <w:sz w:val="20"/>
      <w:szCs w:val="20"/>
      <w:vertAlign w:val="superscript"/>
    </w:rPr>
  </w:style>
  <w:style w:type="character" w:customStyle="1" w:styleId="148">
    <w:name w:val="UserStyle_60"/>
    <w:qFormat/>
    <w:uiPriority w:val="0"/>
    <w:rPr>
      <w:rFonts w:eastAsia="楷体_GB2312"/>
      <w:kern w:val="2"/>
      <w:sz w:val="26"/>
      <w:szCs w:val="26"/>
    </w:rPr>
  </w:style>
  <w:style w:type="character" w:customStyle="1" w:styleId="149">
    <w:name w:val="UserStyle_61"/>
    <w:qFormat/>
    <w:uiPriority w:val="0"/>
    <w:rPr>
      <w:rFonts w:eastAsia="宋体"/>
      <w:kern w:val="2"/>
      <w:sz w:val="18"/>
      <w:lang w:val="en-US" w:eastAsia="zh-CN"/>
    </w:rPr>
  </w:style>
  <w:style w:type="character" w:customStyle="1" w:styleId="150">
    <w:name w:val="UserStyle_62"/>
    <w:qFormat/>
    <w:uiPriority w:val="0"/>
    <w:rPr>
      <w:rFonts w:ascii="宋体" w:hAnsi="宋体" w:eastAsia="宋体"/>
      <w:b/>
      <w:color w:val="000000"/>
      <w:sz w:val="20"/>
      <w:szCs w:val="20"/>
    </w:rPr>
  </w:style>
  <w:style w:type="character" w:customStyle="1" w:styleId="151">
    <w:name w:val="UserStyle_63"/>
    <w:qFormat/>
    <w:uiPriority w:val="0"/>
    <w:rPr>
      <w:rFonts w:ascii="宋体" w:hAnsi="宋体" w:eastAsia="宋体"/>
      <w:color w:val="000000"/>
      <w:sz w:val="20"/>
    </w:rPr>
  </w:style>
  <w:style w:type="character" w:customStyle="1" w:styleId="152">
    <w:name w:val="UserStyle_64"/>
    <w:qFormat/>
    <w:uiPriority w:val="0"/>
    <w:rPr>
      <w:rFonts w:ascii="方正仿宋简体" w:hAnsi="创艺简仿宋" w:eastAsia="方正仿宋简体"/>
      <w:kern w:val="2"/>
      <w:sz w:val="24"/>
    </w:rPr>
  </w:style>
  <w:style w:type="character" w:customStyle="1" w:styleId="153">
    <w:name w:val="UserStyle_65"/>
    <w:qFormat/>
    <w:uiPriority w:val="0"/>
    <w:rPr>
      <w:rFonts w:eastAsia="楷体_GB2312"/>
      <w:kern w:val="2"/>
      <w:sz w:val="18"/>
    </w:rPr>
  </w:style>
  <w:style w:type="character" w:customStyle="1" w:styleId="154">
    <w:name w:val="UserStyle_66"/>
    <w:qFormat/>
    <w:uiPriority w:val="0"/>
    <w:rPr>
      <w:kern w:val="2"/>
      <w:sz w:val="18"/>
    </w:rPr>
  </w:style>
  <w:style w:type="character" w:customStyle="1" w:styleId="155">
    <w:name w:val="UserStyle_67"/>
    <w:qFormat/>
    <w:uiPriority w:val="0"/>
    <w:rPr>
      <w:rFonts w:eastAsia="楷体_GB2312"/>
      <w:kern w:val="2"/>
      <w:sz w:val="26"/>
      <w:szCs w:val="26"/>
    </w:rPr>
  </w:style>
  <w:style w:type="paragraph" w:customStyle="1" w:styleId="156">
    <w:name w:val="UserStyle_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57">
    <w:name w:val="UserStyle_69"/>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58">
    <w:name w:val="UserStyle_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59">
    <w:name w:val="UserStyle_71"/>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60">
    <w:name w:val="UserStyle_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olor w:val="000000"/>
      <w:kern w:val="0"/>
      <w:sz w:val="20"/>
    </w:rPr>
  </w:style>
  <w:style w:type="paragraph" w:customStyle="1" w:styleId="161">
    <w:name w:val="UserStyle_73"/>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62">
    <w:name w:val="UserStyle_7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Courier New" w:hAnsi="Courier New" w:eastAsia="宋体"/>
      <w:color w:val="000000"/>
      <w:kern w:val="0"/>
      <w:sz w:val="20"/>
    </w:rPr>
  </w:style>
  <w:style w:type="paragraph" w:customStyle="1" w:styleId="163">
    <w:name w:val="UserStyle_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s="Courier New"/>
      <w:b/>
      <w:bCs/>
      <w:kern w:val="0"/>
      <w:sz w:val="20"/>
    </w:rPr>
  </w:style>
  <w:style w:type="paragraph" w:customStyle="1" w:styleId="164">
    <w:name w:val="UserStyle_7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165">
    <w:name w:val="UserStyle_7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166">
    <w:name w:val="UserStyle_7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167">
    <w:name w:val="UserStyle_7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168">
    <w:name w:val="UserStyle_8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169">
    <w:name w:val="UserStyle_8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170">
    <w:name w:val="UserStyle_82"/>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71">
    <w:name w:val="UserStyle_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172">
    <w:name w:val="UserStyle_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173">
    <w:name w:val="UserStyle_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174">
    <w:name w:val="UserStyle_86"/>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75">
    <w:name w:val="UserStyle_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176">
    <w:name w:val="UserStyle_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177">
    <w:name w:val="UserStyle_8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178">
    <w:name w:val="UserStyle_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79">
    <w:name w:val="UserStyle_9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180">
    <w:name w:val="UserStyle_9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s="Courier New"/>
      <w:b/>
      <w:bCs/>
      <w:kern w:val="0"/>
      <w:sz w:val="20"/>
    </w:rPr>
  </w:style>
  <w:style w:type="paragraph" w:customStyle="1" w:styleId="181">
    <w:name w:val="UserStyle_93"/>
    <w:basedOn w:val="1"/>
    <w:qFormat/>
    <w:uiPriority w:val="0"/>
    <w:pPr>
      <w:ind w:firstLine="420" w:firstLineChars="200"/>
    </w:pPr>
    <w:rPr>
      <w:rFonts w:ascii="Calibri" w:hAnsi="Calibri" w:eastAsia="宋体"/>
      <w:szCs w:val="26"/>
    </w:rPr>
  </w:style>
  <w:style w:type="paragraph" w:customStyle="1" w:styleId="182">
    <w:name w:val="UserStyle_94"/>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83">
    <w:name w:val="UserStyle_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184">
    <w:name w:val="UserStyle_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b/>
      <w:bCs/>
      <w:kern w:val="0"/>
      <w:sz w:val="20"/>
    </w:rPr>
  </w:style>
  <w:style w:type="paragraph" w:customStyle="1" w:styleId="185">
    <w:name w:val="UserStyle_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s="Courier New"/>
      <w:b/>
      <w:bCs/>
      <w:kern w:val="0"/>
      <w:sz w:val="20"/>
    </w:rPr>
  </w:style>
  <w:style w:type="paragraph" w:customStyle="1" w:styleId="186">
    <w:name w:val="UserStyle_9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187">
    <w:name w:val="UserStyle_9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188">
    <w:name w:val="UserStyle_10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olor w:val="000000"/>
      <w:kern w:val="0"/>
      <w:sz w:val="20"/>
    </w:rPr>
  </w:style>
  <w:style w:type="paragraph" w:customStyle="1" w:styleId="189">
    <w:name w:val="UserStyle_1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olor w:val="000000"/>
      <w:kern w:val="0"/>
      <w:sz w:val="20"/>
    </w:rPr>
  </w:style>
  <w:style w:type="paragraph" w:customStyle="1" w:styleId="190">
    <w:name w:val="UserStyle_10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191">
    <w:name w:val="UserStyle_10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192">
    <w:name w:val="UserStyle_1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93">
    <w:name w:val="UserStyle_1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olor w:val="000000"/>
      <w:kern w:val="0"/>
      <w:sz w:val="20"/>
    </w:rPr>
  </w:style>
  <w:style w:type="paragraph" w:customStyle="1" w:styleId="194">
    <w:name w:val="UserStyle_10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95">
    <w:name w:val="UserStyle_10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96">
    <w:name w:val="UserStyle_108"/>
    <w:qFormat/>
    <w:uiPriority w:val="0"/>
    <w:pPr>
      <w:spacing w:before="120" w:after="240" w:line="360" w:lineRule="auto"/>
      <w:jc w:val="both"/>
      <w:textAlignment w:val="baseline"/>
    </w:pPr>
    <w:rPr>
      <w:rFonts w:ascii="Times New Roman" w:hAnsi="Times New Roman" w:eastAsia="Calibri" w:cs="Times New Roman"/>
      <w:sz w:val="22"/>
      <w:szCs w:val="22"/>
      <w:lang w:val="ru-RU" w:eastAsia="en-US" w:bidi="ar-SA"/>
    </w:rPr>
  </w:style>
  <w:style w:type="paragraph" w:customStyle="1" w:styleId="197">
    <w:name w:val="UserStyle_109"/>
    <w:basedOn w:val="1"/>
    <w:qFormat/>
    <w:uiPriority w:val="0"/>
    <w:pPr>
      <w:ind w:firstLine="420" w:firstLineChars="200"/>
    </w:pPr>
    <w:rPr>
      <w:rFonts w:eastAsia="宋体"/>
      <w:szCs w:val="26"/>
    </w:rPr>
  </w:style>
  <w:style w:type="paragraph" w:customStyle="1" w:styleId="198">
    <w:name w:val="UserStyle_1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199">
    <w:name w:val="UserStyle_111"/>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00">
    <w:name w:val="UserStyle_1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s="Courier New"/>
      <w:b/>
      <w:bCs/>
      <w:color w:val="000000"/>
      <w:kern w:val="0"/>
      <w:sz w:val="20"/>
    </w:rPr>
  </w:style>
  <w:style w:type="paragraph" w:customStyle="1" w:styleId="201">
    <w:name w:val="UserStyle_113"/>
    <w:basedOn w:val="1"/>
    <w:qFormat/>
    <w:uiPriority w:val="0"/>
    <w:pPr>
      <w:spacing w:before="100" w:beforeAutospacing="1" w:after="100" w:afterAutospacing="1"/>
      <w:jc w:val="center"/>
    </w:pPr>
    <w:rPr>
      <w:rFonts w:ascii="Courier New" w:hAnsi="Courier New" w:eastAsia="宋体"/>
      <w:color w:val="000000"/>
      <w:kern w:val="0"/>
      <w:sz w:val="20"/>
    </w:rPr>
  </w:style>
  <w:style w:type="paragraph" w:customStyle="1" w:styleId="202">
    <w:name w:val="UserStyle_114"/>
    <w:next w:val="1"/>
    <w:qFormat/>
    <w:uiPriority w:val="0"/>
    <w:pPr>
      <w:spacing w:line="360" w:lineRule="auto"/>
      <w:jc w:val="both"/>
      <w:textAlignment w:val="baseline"/>
    </w:pPr>
    <w:rPr>
      <w:rFonts w:ascii="Times New Roman" w:hAnsi="Times New Roman" w:eastAsia="楷体_GB2312" w:cs="Times New Roman"/>
      <w:kern w:val="2"/>
      <w:sz w:val="26"/>
      <w:szCs w:val="26"/>
      <w:lang w:val="en-US" w:eastAsia="zh-CN" w:bidi="ar-SA"/>
    </w:rPr>
  </w:style>
  <w:style w:type="paragraph" w:customStyle="1" w:styleId="203">
    <w:name w:val="UserStyle_115"/>
    <w:basedOn w:val="30"/>
    <w:next w:val="1"/>
    <w:qFormat/>
    <w:uiPriority w:val="0"/>
    <w:pPr>
      <w:spacing w:line="240" w:lineRule="auto"/>
      <w:jc w:val="center"/>
    </w:pPr>
    <w:rPr>
      <w:rFonts w:ascii="仿宋_GB2312" w:hAnsi="宋体" w:eastAsia="仿宋_GB2312" w:cs="宋体"/>
      <w:bCs/>
      <w:szCs w:val="44"/>
    </w:rPr>
  </w:style>
  <w:style w:type="paragraph" w:customStyle="1" w:styleId="204">
    <w:name w:val="UserStyle_116"/>
    <w:qFormat/>
    <w:uiPriority w:val="0"/>
    <w:pPr>
      <w:spacing w:line="240" w:lineRule="atLeast"/>
      <w:ind w:firstLine="200" w:firstLineChars="200"/>
      <w:jc w:val="both"/>
      <w:textAlignment w:val="baseline"/>
    </w:pPr>
    <w:rPr>
      <w:rFonts w:ascii="Times New Roman" w:hAnsi="Times New Roman" w:eastAsia="宋体" w:cs="Times New Roman"/>
      <w:kern w:val="2"/>
      <w:sz w:val="21"/>
      <w:szCs w:val="21"/>
      <w:lang w:val="en-US" w:eastAsia="zh-CN" w:bidi="ar-SA"/>
    </w:rPr>
  </w:style>
  <w:style w:type="paragraph" w:customStyle="1" w:styleId="205">
    <w:name w:val="UserStyle_11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06">
    <w:name w:val="UserStyle_118"/>
    <w:basedOn w:val="1"/>
    <w:qFormat/>
    <w:uiPriority w:val="0"/>
    <w:pPr>
      <w:spacing w:before="100" w:beforeAutospacing="1" w:after="100" w:afterAutospacing="1"/>
      <w:jc w:val="left"/>
    </w:pPr>
    <w:rPr>
      <w:rFonts w:ascii="Courier New" w:hAnsi="Courier New" w:eastAsia="宋体"/>
      <w:color w:val="000000"/>
      <w:kern w:val="0"/>
      <w:sz w:val="20"/>
    </w:rPr>
  </w:style>
  <w:style w:type="paragraph" w:customStyle="1" w:styleId="207">
    <w:name w:val="UserStyle_119"/>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08">
    <w:name w:val="UserStyle_1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olor w:val="000000"/>
      <w:kern w:val="0"/>
      <w:sz w:val="20"/>
    </w:rPr>
  </w:style>
  <w:style w:type="paragraph" w:customStyle="1" w:styleId="209">
    <w:name w:val="UserStyle_12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10">
    <w:name w:val="UserStyle_12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top"/>
    </w:pPr>
    <w:rPr>
      <w:rFonts w:ascii="仿宋" w:hAnsi="仿宋" w:eastAsia="仿宋"/>
      <w:kern w:val="0"/>
      <w:sz w:val="20"/>
    </w:rPr>
  </w:style>
  <w:style w:type="paragraph" w:customStyle="1" w:styleId="211">
    <w:name w:val="UserStyle_12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212">
    <w:name w:val="UserStyle_1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213">
    <w:name w:val="UserStyle_12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paragraph" w:customStyle="1" w:styleId="214">
    <w:name w:val="UserStyle_126"/>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15">
    <w:name w:val="UserStyle_1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216">
    <w:name w:val="UserStyle_128"/>
    <w:basedOn w:val="1"/>
    <w:qFormat/>
    <w:uiPriority w:val="0"/>
    <w:pPr>
      <w:spacing w:before="100" w:beforeAutospacing="1" w:after="100" w:afterAutospacing="1"/>
      <w:jc w:val="left"/>
    </w:pPr>
    <w:rPr>
      <w:rFonts w:ascii="Courier New" w:hAnsi="Courier New" w:eastAsia="宋体"/>
      <w:color w:val="000000"/>
      <w:kern w:val="0"/>
      <w:sz w:val="20"/>
    </w:rPr>
  </w:style>
  <w:style w:type="paragraph" w:customStyle="1" w:styleId="217">
    <w:name w:val="UserStyle_1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218">
    <w:name w:val="UserStyle_13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paragraph" w:customStyle="1" w:styleId="219">
    <w:name w:val="UserStyle_1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220">
    <w:name w:val="UserStyle_132"/>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21">
    <w:name w:val="UserStyle_133"/>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22">
    <w:name w:val="UserStyle_13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cs="宋体"/>
      <w:b/>
      <w:bCs/>
      <w:kern w:val="0"/>
      <w:sz w:val="20"/>
    </w:rPr>
  </w:style>
  <w:style w:type="paragraph" w:customStyle="1" w:styleId="223">
    <w:name w:val="UserStyle_13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paragraph" w:customStyle="1" w:styleId="224">
    <w:name w:val="UserStyle_13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225">
    <w:name w:val="UserStyle_13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26">
    <w:name w:val="UserStyle_13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Courier New" w:hAnsi="Courier New" w:eastAsia="宋体" w:cs="Courier New"/>
      <w:b/>
      <w:bCs/>
      <w:kern w:val="0"/>
      <w:sz w:val="20"/>
    </w:rPr>
  </w:style>
  <w:style w:type="paragraph" w:customStyle="1" w:styleId="227">
    <w:name w:val="UserStyle_13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228">
    <w:name w:val="UserStyle_14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29">
    <w:name w:val="UserStyle_14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30">
    <w:name w:val="UserStyle_14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color w:val="000000"/>
      <w:kern w:val="0"/>
      <w:sz w:val="20"/>
    </w:rPr>
  </w:style>
  <w:style w:type="paragraph" w:customStyle="1" w:styleId="231">
    <w:name w:val="UserStyle_14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232">
    <w:name w:val="UserStyle_1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233">
    <w:name w:val="UserStyle_14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Courier New" w:hAnsi="Courier New" w:eastAsia="宋体"/>
      <w:kern w:val="0"/>
      <w:sz w:val="20"/>
    </w:rPr>
  </w:style>
  <w:style w:type="paragraph" w:customStyle="1" w:styleId="234">
    <w:name w:val="UserStyle_1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235">
    <w:name w:val="UserStyle_14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236">
    <w:name w:val="UserStyle_14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237">
    <w:name w:val="UserStyle_14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paragraph" w:customStyle="1" w:styleId="238">
    <w:name w:val="UserStyle_150"/>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39">
    <w:name w:val="UserStyle_15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40">
    <w:name w:val="UserStyle_15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241">
    <w:name w:val="UserStyle_1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table" w:customStyle="1" w:styleId="242">
    <w:name w:val="UserStyle_154"/>
    <w:basedOn w:val="40"/>
    <w:qFormat/>
    <w:uiPriority w:val="0"/>
    <w:tblPr>
      <w:tblCellMar>
        <w:top w:w="0" w:type="dxa"/>
        <w:left w:w="0" w:type="dxa"/>
        <w:bottom w:w="0" w:type="dxa"/>
        <w:right w:w="0" w:type="dxa"/>
      </w:tblCellMar>
    </w:tblPr>
  </w:style>
  <w:style w:type="character" w:customStyle="1" w:styleId="243">
    <w:name w:val="UserStyle_155"/>
    <w:qFormat/>
    <w:uiPriority w:val="0"/>
  </w:style>
  <w:style w:type="paragraph" w:customStyle="1" w:styleId="244">
    <w:name w:val="Nul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customStyle="1" w:styleId="245">
    <w:name w:val="UserStyle_156"/>
    <w:basedOn w:val="1"/>
    <w:qFormat/>
    <w:uiPriority w:val="0"/>
    <w:pPr>
      <w:ind w:firstLine="480" w:firstLineChars="200"/>
    </w:pPr>
    <w:rPr>
      <w:lang w:val="zh-CN"/>
    </w:rPr>
  </w:style>
  <w:style w:type="paragraph" w:customStyle="1" w:styleId="246">
    <w:name w:val="UserStyle_157"/>
    <w:basedOn w:val="1"/>
    <w:qFormat/>
    <w:uiPriority w:val="0"/>
    <w:pPr>
      <w:spacing w:before="100" w:beforeAutospacing="1" w:after="100" w:afterAutospacing="1"/>
    </w:pPr>
    <w:rPr>
      <w:rFonts w:ascii="宋体" w:hAnsi="宋体" w:eastAsia="仿宋_GB2312"/>
      <w:sz w:val="32"/>
    </w:rPr>
  </w:style>
  <w:style w:type="character" w:customStyle="1" w:styleId="247">
    <w:name w:val="UserStyle_158"/>
    <w:qFormat/>
    <w:uiPriority w:val="0"/>
  </w:style>
  <w:style w:type="paragraph" w:customStyle="1" w:styleId="248">
    <w:name w:val="List Paragraph"/>
    <w:basedOn w:val="1"/>
    <w:qFormat/>
    <w:uiPriority w:val="0"/>
    <w:pPr>
      <w:ind w:firstLine="420" w:firstLineChars="200"/>
    </w:pPr>
    <w:rPr>
      <w:rFonts w:ascii="Calibri" w:hAnsi="Calibri"/>
    </w:rPr>
  </w:style>
  <w:style w:type="paragraph" w:customStyle="1" w:styleId="249">
    <w:name w:val="列出段落1"/>
    <w:basedOn w:val="1"/>
    <w:qFormat/>
    <w:uiPriority w:val="0"/>
    <w:pPr>
      <w:ind w:firstLine="420" w:firstLineChars="200"/>
    </w:pPr>
    <w:rPr>
      <w:rFonts w:ascii="Calibri" w:hAnsi="Calibri" w:eastAsia="宋体" w:cs="黑体"/>
      <w:sz w:val="21"/>
      <w:szCs w:val="22"/>
    </w:rPr>
  </w:style>
  <w:style w:type="paragraph" w:customStyle="1" w:styleId="250">
    <w:name w:val="Table Paragraph"/>
    <w:basedOn w:val="1"/>
    <w:qFormat/>
    <w:uiPriority w:val="1"/>
    <w:pPr>
      <w:spacing w:before="31"/>
      <w:ind w:left="107"/>
    </w:pPr>
    <w:rPr>
      <w:rFonts w:ascii="微软雅黑" w:hAnsi="微软雅黑" w:eastAsia="微软雅黑" w:cs="微软雅黑"/>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12112</Words>
  <Characters>12525</Characters>
  <Paragraphs>1101</Paragraphs>
  <TotalTime>1</TotalTime>
  <ScaleCrop>false</ScaleCrop>
  <LinksUpToDate>false</LinksUpToDate>
  <CharactersWithSpaces>12596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2021-08-17T09:36:00Z</dcterms:created>
  <dc:creator>正扬</dc:creator>
  <cp:lastModifiedBy>L</cp:lastModifiedBy>
  <dcterms:modified xsi:type="dcterms:W3CDTF">2025-06-18T08:25:52Z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0229F36E9B8C40CE93EA904A74BEB831</vt:lpwstr>
  </property>
  <property fmtid="{D5CDD505-2E9C-101B-9397-08002B2CF9AE}" pid="4" name="KSOTemplateDocerSaveRecord">
    <vt:lpwstr>eyJoZGlkIjoiNzc3NGZiODMwZWIxNGQ1ZGM3NzU3NzM0MzJmZjJlOWYifQ==</vt:lpwstr>
  </property>
</Properties>
</file>