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napToGrid w:val="0"/>
        <w:spacing w:line="300" w:lineRule="auto"/>
        <w:jc w:val="left"/>
        <w:rPr>
          <w:rFonts w:hAnsi="宋体"/>
          <w:color w:val="auto"/>
          <w:sz w:val="44"/>
          <w:szCs w:val="44"/>
          <w:highlight w:val="none"/>
          <w:shd w:val="clear" w:color="auto" w:fill="auto"/>
        </w:rPr>
      </w:pPr>
      <w:r>
        <w:rPr>
          <w:rFonts w:hint="eastAsia" w:hAnsi="宋体"/>
          <w:color w:val="auto"/>
          <w:sz w:val="44"/>
          <w:szCs w:val="44"/>
          <w:highlight w:val="none"/>
          <w:shd w:val="clear" w:color="auto" w:fill="auto"/>
        </w:rPr>
        <w:t xml:space="preserve">   </w:t>
      </w:r>
      <w:r>
        <w:rPr>
          <w:rFonts w:hAnsi="宋体"/>
          <w:color w:val="auto"/>
          <w:sz w:val="44"/>
          <w:szCs w:val="44"/>
          <w:highlight w:val="none"/>
          <w:shd w:val="clear" w:color="auto" w:fill="auto"/>
        </w:rPr>
        <w:tab/>
      </w:r>
    </w:p>
    <w:p>
      <w:pPr>
        <w:tabs>
          <w:tab w:val="left" w:pos="6300"/>
        </w:tabs>
        <w:snapToGrid w:val="0"/>
        <w:spacing w:line="300" w:lineRule="auto"/>
        <w:jc w:val="center"/>
        <w:rPr>
          <w:rFonts w:hAnsi="宋体" w:cs="宋体"/>
          <w:color w:val="auto"/>
          <w:sz w:val="36"/>
          <w:szCs w:val="36"/>
          <w:highlight w:val="none"/>
          <w:shd w:val="clear" w:color="auto" w:fill="auto"/>
        </w:rPr>
      </w:pPr>
    </w:p>
    <w:p>
      <w:pPr>
        <w:spacing w:line="700" w:lineRule="exact"/>
        <w:jc w:val="center"/>
        <w:rPr>
          <w:rFonts w:hint="eastAsia" w:hAnsi="宋体" w:eastAsia="宋体"/>
          <w:b/>
          <w:color w:val="auto"/>
          <w:sz w:val="56"/>
          <w:szCs w:val="56"/>
          <w:highlight w:val="none"/>
          <w:shd w:val="clear" w:color="auto" w:fill="auto"/>
          <w:lang w:eastAsia="zh-CN"/>
        </w:rPr>
      </w:pPr>
      <w:r>
        <w:rPr>
          <w:rFonts w:hint="eastAsia" w:hAnsi="宋体" w:cs="宋体"/>
          <w:b/>
          <w:bCs/>
          <w:color w:val="auto"/>
          <w:sz w:val="44"/>
          <w:szCs w:val="44"/>
          <w:highlight w:val="none"/>
          <w:shd w:val="clear" w:color="auto" w:fill="auto"/>
          <w:lang w:eastAsia="zh-CN"/>
        </w:rPr>
        <w:t>“乾隆的假期——清代宫廷节令礼俗展”展览服务项目</w:t>
      </w:r>
    </w:p>
    <w:p>
      <w:pPr>
        <w:spacing w:line="1400" w:lineRule="exact"/>
        <w:jc w:val="center"/>
        <w:rPr>
          <w:rFonts w:hAnsi="宋体"/>
          <w:b/>
          <w:color w:val="auto"/>
          <w:sz w:val="72"/>
          <w:szCs w:val="72"/>
          <w:highlight w:val="none"/>
          <w:shd w:val="clear" w:color="auto" w:fill="auto"/>
        </w:rPr>
      </w:pPr>
    </w:p>
    <w:p>
      <w:pPr>
        <w:spacing w:line="1400" w:lineRule="exact"/>
        <w:jc w:val="center"/>
        <w:rPr>
          <w:rFonts w:hAnsi="宋体"/>
          <w:b/>
          <w:color w:val="auto"/>
          <w:sz w:val="72"/>
          <w:szCs w:val="72"/>
          <w:highlight w:val="none"/>
          <w:shd w:val="clear" w:color="auto" w:fill="auto"/>
        </w:rPr>
      </w:pPr>
    </w:p>
    <w:p>
      <w:pPr>
        <w:spacing w:line="1400" w:lineRule="exact"/>
        <w:jc w:val="center"/>
        <w:rPr>
          <w:rFonts w:hAnsi="宋体"/>
          <w:b/>
          <w:color w:val="auto"/>
          <w:sz w:val="72"/>
          <w:szCs w:val="72"/>
          <w:highlight w:val="none"/>
          <w:shd w:val="clear" w:color="auto" w:fill="auto"/>
        </w:rPr>
      </w:pPr>
      <w:r>
        <w:rPr>
          <w:rFonts w:hAnsi="宋体"/>
          <w:b/>
          <w:color w:val="auto"/>
          <w:sz w:val="72"/>
          <w:szCs w:val="72"/>
          <w:highlight w:val="none"/>
          <w:shd w:val="clear" w:color="auto" w:fill="auto"/>
        </w:rPr>
        <w:t>竞争性磋商文件</w:t>
      </w:r>
    </w:p>
    <w:p>
      <w:pPr>
        <w:spacing w:line="720" w:lineRule="auto"/>
        <w:jc w:val="center"/>
        <w:rPr>
          <w:rFonts w:hAnsi="宋体"/>
          <w:b/>
          <w:color w:val="auto"/>
          <w:sz w:val="44"/>
          <w:szCs w:val="44"/>
          <w:highlight w:val="none"/>
          <w:shd w:val="clear" w:color="auto" w:fill="auto"/>
        </w:rPr>
      </w:pPr>
      <w:r>
        <w:rPr>
          <w:rFonts w:hint="eastAsia" w:hAnsi="宋体"/>
          <w:b/>
          <w:color w:val="auto"/>
          <w:sz w:val="44"/>
          <w:szCs w:val="44"/>
          <w:highlight w:val="none"/>
          <w:shd w:val="clear" w:color="auto" w:fill="auto"/>
        </w:rPr>
        <w:t>（资格后审）</w:t>
      </w:r>
    </w:p>
    <w:p>
      <w:pPr>
        <w:snapToGrid w:val="0"/>
        <w:spacing w:line="360" w:lineRule="auto"/>
        <w:jc w:val="center"/>
        <w:rPr>
          <w:rFonts w:hint="eastAsia" w:hAnsi="宋体"/>
          <w:b/>
          <w:color w:val="auto"/>
          <w:sz w:val="36"/>
          <w:highlight w:val="none"/>
          <w:shd w:val="clear" w:color="auto" w:fill="auto"/>
          <w:lang w:val="en-US" w:eastAsia="zh-CN"/>
        </w:rPr>
      </w:pPr>
    </w:p>
    <w:p>
      <w:pPr>
        <w:snapToGrid w:val="0"/>
        <w:spacing w:line="360" w:lineRule="auto"/>
        <w:jc w:val="center"/>
        <w:rPr>
          <w:rFonts w:hAnsi="宋体"/>
          <w:b/>
          <w:color w:val="auto"/>
          <w:sz w:val="36"/>
          <w:highlight w:val="none"/>
          <w:shd w:val="clear" w:color="auto" w:fill="auto"/>
        </w:rPr>
      </w:pPr>
    </w:p>
    <w:p>
      <w:pPr>
        <w:snapToGrid w:val="0"/>
        <w:spacing w:line="360" w:lineRule="auto"/>
        <w:rPr>
          <w:rFonts w:hAnsi="宋体"/>
          <w:b/>
          <w:color w:val="auto"/>
          <w:sz w:val="36"/>
          <w:highlight w:val="none"/>
          <w:shd w:val="clear" w:color="auto" w:fill="auto"/>
        </w:rPr>
      </w:pPr>
    </w:p>
    <w:p>
      <w:pPr>
        <w:snapToGrid w:val="0"/>
        <w:spacing w:line="360" w:lineRule="auto"/>
        <w:jc w:val="center"/>
        <w:rPr>
          <w:rFonts w:hAnsi="宋体"/>
          <w:b/>
          <w:color w:val="auto"/>
          <w:sz w:val="36"/>
          <w:highlight w:val="none"/>
          <w:shd w:val="clear" w:color="auto" w:fill="auto"/>
        </w:rPr>
      </w:pPr>
    </w:p>
    <w:p>
      <w:pPr>
        <w:adjustRightInd w:val="0"/>
        <w:snapToGrid w:val="0"/>
        <w:spacing w:line="360" w:lineRule="auto"/>
        <w:rPr>
          <w:rFonts w:hint="eastAsia" w:hAnsi="宋体" w:cs="宋体"/>
          <w:b/>
          <w:color w:val="auto"/>
          <w:sz w:val="30"/>
          <w:szCs w:val="30"/>
          <w:highlight w:val="none"/>
          <w:shd w:val="clear" w:color="auto" w:fill="auto"/>
        </w:rPr>
      </w:pPr>
    </w:p>
    <w:p>
      <w:pPr>
        <w:adjustRightInd w:val="0"/>
        <w:snapToGrid w:val="0"/>
        <w:spacing w:line="360" w:lineRule="auto"/>
        <w:jc w:val="center"/>
        <w:rPr>
          <w:rFonts w:hint="eastAsia" w:hAnsi="宋体" w:eastAsia="宋体" w:cs="宋体"/>
          <w:b/>
          <w:color w:val="auto"/>
          <w:sz w:val="30"/>
          <w:szCs w:val="30"/>
          <w:highlight w:val="none"/>
          <w:shd w:val="clear" w:color="auto" w:fill="auto"/>
          <w:lang w:eastAsia="zh-CN"/>
        </w:rPr>
      </w:pPr>
      <w:r>
        <w:rPr>
          <w:rFonts w:hint="eastAsia" w:hAnsi="宋体" w:cs="宋体"/>
          <w:b/>
          <w:color w:val="auto"/>
          <w:sz w:val="30"/>
          <w:szCs w:val="30"/>
          <w:highlight w:val="none"/>
          <w:shd w:val="clear" w:color="auto" w:fill="auto"/>
        </w:rPr>
        <w:t>采购人：</w:t>
      </w:r>
      <w:r>
        <w:rPr>
          <w:rFonts w:hint="eastAsia" w:hAnsi="宋体" w:cs="宋体"/>
          <w:b/>
          <w:color w:val="auto"/>
          <w:sz w:val="30"/>
          <w:szCs w:val="30"/>
          <w:highlight w:val="none"/>
          <w:shd w:val="clear" w:color="auto" w:fill="auto"/>
          <w:lang w:eastAsia="zh-CN"/>
        </w:rPr>
        <w:t>南通博物苑</w:t>
      </w:r>
    </w:p>
    <w:p>
      <w:pPr>
        <w:adjustRightInd w:val="0"/>
        <w:snapToGrid w:val="0"/>
        <w:spacing w:line="360" w:lineRule="auto"/>
        <w:jc w:val="center"/>
        <w:rPr>
          <w:rFonts w:hAnsi="宋体" w:cs="宋体"/>
          <w:b/>
          <w:color w:val="auto"/>
          <w:sz w:val="30"/>
          <w:szCs w:val="30"/>
          <w:highlight w:val="none"/>
          <w:shd w:val="clear" w:color="auto" w:fill="auto"/>
        </w:rPr>
      </w:pPr>
      <w:r>
        <w:rPr>
          <w:rFonts w:hint="eastAsia" w:hAnsi="宋体" w:cs="宋体"/>
          <w:b/>
          <w:color w:val="auto"/>
          <w:sz w:val="30"/>
          <w:szCs w:val="30"/>
          <w:highlight w:val="none"/>
          <w:shd w:val="clear" w:color="auto" w:fill="auto"/>
        </w:rPr>
        <w:t>代理机构：江苏正扬招标代理有限公司</w:t>
      </w:r>
    </w:p>
    <w:p>
      <w:pPr>
        <w:adjustRightInd w:val="0"/>
        <w:snapToGrid w:val="0"/>
        <w:spacing w:line="360" w:lineRule="auto"/>
        <w:jc w:val="center"/>
        <w:rPr>
          <w:rFonts w:hAnsi="宋体" w:cs="宋体"/>
          <w:b/>
          <w:color w:val="auto"/>
          <w:sz w:val="30"/>
          <w:szCs w:val="30"/>
          <w:highlight w:val="none"/>
          <w:shd w:val="clear" w:color="auto" w:fill="auto"/>
        </w:rPr>
      </w:pPr>
    </w:p>
    <w:p>
      <w:pPr>
        <w:adjustRightInd w:val="0"/>
        <w:snapToGrid w:val="0"/>
        <w:spacing w:line="360" w:lineRule="auto"/>
        <w:jc w:val="center"/>
        <w:rPr>
          <w:rFonts w:hAnsi="宋体" w:cs="宋体"/>
          <w:b/>
          <w:color w:val="auto"/>
          <w:sz w:val="44"/>
          <w:szCs w:val="44"/>
          <w:highlight w:val="none"/>
          <w:shd w:val="clear" w:color="auto" w:fill="auto"/>
        </w:rPr>
      </w:pPr>
      <w:r>
        <w:rPr>
          <w:rFonts w:hint="eastAsia" w:hAnsi="宋体" w:cs="宋体"/>
          <w:b/>
          <w:color w:val="auto"/>
          <w:sz w:val="30"/>
          <w:szCs w:val="30"/>
          <w:highlight w:val="none"/>
          <w:shd w:val="clear" w:color="auto" w:fill="auto"/>
        </w:rPr>
        <w:t>二〇二四年</w:t>
      </w:r>
      <w:r>
        <w:rPr>
          <w:rFonts w:hint="eastAsia" w:hAnsi="宋体" w:cs="宋体"/>
          <w:b/>
          <w:color w:val="auto"/>
          <w:sz w:val="30"/>
          <w:szCs w:val="30"/>
          <w:highlight w:val="none"/>
          <w:shd w:val="clear" w:color="auto" w:fill="auto"/>
          <w:lang w:val="en-US" w:eastAsia="zh-CN"/>
        </w:rPr>
        <w:t>十二</w:t>
      </w:r>
      <w:r>
        <w:rPr>
          <w:rFonts w:hint="eastAsia" w:hAnsi="宋体" w:cs="宋体"/>
          <w:b/>
          <w:color w:val="auto"/>
          <w:sz w:val="30"/>
          <w:szCs w:val="30"/>
          <w:highlight w:val="none"/>
          <w:shd w:val="clear" w:color="auto" w:fill="auto"/>
        </w:rPr>
        <w:t>月</w:t>
      </w:r>
      <w:r>
        <w:rPr>
          <w:rFonts w:hAnsi="宋体" w:cs="宋体"/>
          <w:b/>
          <w:color w:val="auto"/>
          <w:sz w:val="44"/>
          <w:szCs w:val="44"/>
          <w:highlight w:val="none"/>
          <w:shd w:val="clear" w:color="auto" w:fill="auto"/>
        </w:rPr>
        <w:br w:type="page"/>
      </w:r>
    </w:p>
    <w:p>
      <w:pPr>
        <w:jc w:val="center"/>
        <w:rPr>
          <w:rFonts w:hAnsi="宋体" w:cs="宋体"/>
          <w:b/>
          <w:color w:val="auto"/>
          <w:sz w:val="44"/>
          <w:szCs w:val="44"/>
          <w:highlight w:val="none"/>
          <w:shd w:val="clear" w:color="auto" w:fill="auto"/>
        </w:rPr>
      </w:pPr>
    </w:p>
    <w:p>
      <w:pPr>
        <w:jc w:val="center"/>
        <w:rPr>
          <w:rFonts w:hAnsi="宋体" w:cs="宋体"/>
          <w:b/>
          <w:color w:val="auto"/>
          <w:sz w:val="44"/>
          <w:szCs w:val="44"/>
          <w:highlight w:val="none"/>
          <w:shd w:val="clear" w:color="auto" w:fill="auto"/>
        </w:rPr>
      </w:pPr>
      <w:r>
        <w:rPr>
          <w:rFonts w:hint="eastAsia" w:hAnsi="宋体" w:cs="宋体"/>
          <w:b/>
          <w:color w:val="auto"/>
          <w:sz w:val="44"/>
          <w:szCs w:val="44"/>
          <w:highlight w:val="none"/>
          <w:shd w:val="clear" w:color="auto" w:fill="auto"/>
        </w:rPr>
        <w:t>竞争性磋商文件备案表</w:t>
      </w:r>
    </w:p>
    <w:p>
      <w:pPr>
        <w:jc w:val="center"/>
        <w:rPr>
          <w:rFonts w:hAnsi="宋体" w:cs="宋体"/>
          <w:b/>
          <w:color w:val="auto"/>
          <w:sz w:val="44"/>
          <w:szCs w:val="44"/>
          <w:highlight w:val="none"/>
          <w:shd w:val="clear" w:color="auto" w:fill="auto"/>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8" w:hRule="atLeast"/>
          <w:jc w:val="center"/>
        </w:trPr>
        <w:tc>
          <w:tcPr>
            <w:tcW w:w="9180" w:type="dxa"/>
          </w:tcPr>
          <w:p>
            <w:pPr>
              <w:spacing w:line="360" w:lineRule="auto"/>
              <w:jc w:val="center"/>
              <w:rPr>
                <w:rFonts w:hAnsi="宋体" w:cs="宋体"/>
                <w:color w:val="auto"/>
                <w:position w:val="-48"/>
                <w:sz w:val="25"/>
                <w:highlight w:val="none"/>
                <w:shd w:val="clear" w:color="auto" w:fill="auto"/>
              </w:rPr>
            </w:pPr>
          </w:p>
          <w:p>
            <w:pPr>
              <w:spacing w:line="360" w:lineRule="auto"/>
              <w:jc w:val="center"/>
              <w:rPr>
                <w:rFonts w:hAnsi="宋体" w:cs="宋体"/>
                <w:color w:val="auto"/>
                <w:position w:val="-48"/>
                <w:sz w:val="25"/>
                <w:highlight w:val="none"/>
                <w:shd w:val="clear" w:color="auto" w:fill="auto"/>
              </w:rPr>
            </w:pPr>
          </w:p>
          <w:p>
            <w:pPr>
              <w:spacing w:line="360" w:lineRule="auto"/>
              <w:jc w:val="center"/>
              <w:rPr>
                <w:rFonts w:hAnsi="宋体" w:cs="宋体"/>
                <w:color w:val="auto"/>
                <w:position w:val="-48"/>
                <w:sz w:val="25"/>
                <w:highlight w:val="none"/>
                <w:shd w:val="clear" w:color="auto" w:fill="auto"/>
              </w:rPr>
            </w:pPr>
            <w:r>
              <w:rPr>
                <w:rFonts w:hint="eastAsia" w:hAnsi="宋体" w:cs="宋体"/>
                <w:color w:val="auto"/>
                <w:position w:val="-48"/>
                <w:sz w:val="25"/>
                <w:highlight w:val="none"/>
                <w:shd w:val="clear" w:color="auto" w:fill="auto"/>
              </w:rPr>
              <w:t>编制人：李艳梅</w:t>
            </w:r>
          </w:p>
          <w:p>
            <w:pPr>
              <w:tabs>
                <w:tab w:val="left" w:pos="3492"/>
              </w:tabs>
              <w:spacing w:line="360" w:lineRule="auto"/>
              <w:jc w:val="center"/>
              <w:rPr>
                <w:rFonts w:hAnsi="宋体" w:cs="宋体"/>
                <w:color w:val="auto"/>
                <w:position w:val="-48"/>
                <w:sz w:val="25"/>
                <w:highlight w:val="none"/>
                <w:shd w:val="clear" w:color="auto" w:fill="auto"/>
              </w:rPr>
            </w:pPr>
            <w:r>
              <w:rPr>
                <w:rFonts w:hint="eastAsia" w:hAnsi="宋体" w:cs="宋体"/>
                <w:color w:val="auto"/>
                <w:position w:val="-48"/>
                <w:sz w:val="25"/>
                <w:highlight w:val="none"/>
                <w:shd w:val="clear" w:color="auto" w:fill="auto"/>
              </w:rPr>
              <w:t>日  期：2024年</w:t>
            </w:r>
            <w:r>
              <w:rPr>
                <w:rFonts w:hint="eastAsia" w:hAnsi="宋体" w:cs="宋体"/>
                <w:color w:val="auto"/>
                <w:position w:val="-48"/>
                <w:sz w:val="25"/>
                <w:highlight w:val="none"/>
                <w:shd w:val="clear" w:color="auto" w:fill="auto"/>
                <w:lang w:val="en-US" w:eastAsia="zh-CN"/>
              </w:rPr>
              <w:t>12</w:t>
            </w:r>
            <w:r>
              <w:rPr>
                <w:rFonts w:hint="eastAsia" w:hAnsi="宋体" w:cs="宋体"/>
                <w:color w:val="auto"/>
                <w:position w:val="-48"/>
                <w:sz w:val="25"/>
                <w:highlight w:val="none"/>
                <w:shd w:val="clear" w:color="auto" w:fill="auto"/>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5" w:hRule="atLeast"/>
          <w:jc w:val="center"/>
        </w:trPr>
        <w:tc>
          <w:tcPr>
            <w:tcW w:w="9180" w:type="dxa"/>
          </w:tcPr>
          <w:p>
            <w:pPr>
              <w:spacing w:line="360" w:lineRule="auto"/>
              <w:rPr>
                <w:rFonts w:hAnsi="宋体" w:cs="宋体"/>
                <w:color w:val="auto"/>
                <w:position w:val="-48"/>
                <w:sz w:val="25"/>
                <w:highlight w:val="none"/>
                <w:shd w:val="clear" w:color="auto" w:fill="auto"/>
              </w:rPr>
            </w:pPr>
          </w:p>
          <w:p>
            <w:pPr>
              <w:spacing w:line="360" w:lineRule="auto"/>
              <w:ind w:firstLine="625" w:firstLineChars="250"/>
              <w:jc w:val="center"/>
              <w:rPr>
                <w:rFonts w:hAnsi="宋体" w:cs="宋体"/>
                <w:color w:val="auto"/>
                <w:position w:val="-48"/>
                <w:sz w:val="25"/>
                <w:highlight w:val="none"/>
                <w:shd w:val="clear" w:color="auto" w:fill="auto"/>
              </w:rPr>
            </w:pPr>
          </w:p>
          <w:p>
            <w:pPr>
              <w:spacing w:line="360" w:lineRule="auto"/>
              <w:ind w:firstLine="625" w:firstLineChars="250"/>
              <w:jc w:val="center"/>
              <w:rPr>
                <w:rFonts w:hAnsi="宋体" w:cs="宋体"/>
                <w:color w:val="auto"/>
                <w:position w:val="-48"/>
                <w:sz w:val="25"/>
                <w:highlight w:val="none"/>
                <w:shd w:val="clear" w:color="auto" w:fill="auto"/>
              </w:rPr>
            </w:pPr>
          </w:p>
          <w:p>
            <w:pPr>
              <w:spacing w:line="360" w:lineRule="auto"/>
              <w:jc w:val="center"/>
              <w:rPr>
                <w:rFonts w:hAnsi="宋体" w:cs="宋体"/>
                <w:color w:val="auto"/>
                <w:position w:val="-48"/>
                <w:sz w:val="25"/>
                <w:highlight w:val="none"/>
                <w:shd w:val="clear" w:color="auto" w:fill="auto"/>
              </w:rPr>
            </w:pPr>
            <w:r>
              <w:rPr>
                <w:rFonts w:hint="eastAsia" w:hAnsi="宋体" w:cs="宋体"/>
                <w:color w:val="auto"/>
                <w:position w:val="-48"/>
                <w:sz w:val="25"/>
                <w:highlight w:val="none"/>
                <w:shd w:val="clear" w:color="auto" w:fill="auto"/>
              </w:rPr>
              <w:t>采购人（盖章）</w:t>
            </w:r>
          </w:p>
          <w:p>
            <w:pPr>
              <w:spacing w:line="360" w:lineRule="auto"/>
              <w:rPr>
                <w:rFonts w:hAnsi="宋体" w:cs="宋体"/>
                <w:color w:val="auto"/>
                <w:position w:val="-48"/>
                <w:sz w:val="25"/>
                <w:highlight w:val="none"/>
                <w:shd w:val="clear" w:color="auto" w:fill="auto"/>
              </w:rPr>
            </w:pPr>
          </w:p>
          <w:p>
            <w:pPr>
              <w:spacing w:line="360" w:lineRule="auto"/>
              <w:jc w:val="center"/>
              <w:rPr>
                <w:rFonts w:hAnsi="宋体" w:cs="宋体"/>
                <w:color w:val="auto"/>
                <w:position w:val="-48"/>
                <w:sz w:val="25"/>
                <w:highlight w:val="none"/>
                <w:shd w:val="clear" w:color="auto" w:fill="auto"/>
              </w:rPr>
            </w:pPr>
            <w:r>
              <w:rPr>
                <w:rFonts w:hint="eastAsia" w:hAnsi="宋体" w:cs="宋体"/>
                <w:color w:val="auto"/>
                <w:position w:val="-48"/>
                <w:sz w:val="25"/>
                <w:highlight w:val="none"/>
                <w:shd w:val="clear" w:color="auto" w:fill="auto"/>
              </w:rPr>
              <w:t>代理机构（盖章）</w:t>
            </w:r>
          </w:p>
          <w:p>
            <w:pPr>
              <w:spacing w:line="360" w:lineRule="auto"/>
              <w:rPr>
                <w:rFonts w:hAnsi="宋体" w:cs="宋体"/>
                <w:color w:val="auto"/>
                <w:position w:val="-48"/>
                <w:sz w:val="25"/>
                <w:highlight w:val="none"/>
                <w:shd w:val="clear" w:color="auto" w:fill="auto"/>
              </w:rPr>
            </w:pPr>
          </w:p>
          <w:p>
            <w:pPr>
              <w:spacing w:line="360" w:lineRule="auto"/>
              <w:jc w:val="center"/>
              <w:rPr>
                <w:rFonts w:hAnsi="宋体" w:cs="宋体"/>
                <w:color w:val="auto"/>
                <w:position w:val="-48"/>
                <w:sz w:val="25"/>
                <w:highlight w:val="none"/>
                <w:shd w:val="clear" w:color="auto" w:fill="auto"/>
              </w:rPr>
            </w:pPr>
            <w:r>
              <w:rPr>
                <w:rFonts w:hint="eastAsia" w:hAnsi="宋体" w:cs="宋体"/>
                <w:color w:val="auto"/>
                <w:position w:val="-48"/>
                <w:sz w:val="25"/>
                <w:highlight w:val="none"/>
                <w:shd w:val="clear" w:color="auto" w:fill="auto"/>
              </w:rPr>
              <w:t>日  期：2024年</w:t>
            </w:r>
            <w:r>
              <w:rPr>
                <w:rFonts w:hint="eastAsia" w:hAnsi="宋体" w:cs="宋体"/>
                <w:color w:val="auto"/>
                <w:position w:val="-48"/>
                <w:sz w:val="25"/>
                <w:highlight w:val="none"/>
                <w:shd w:val="clear" w:color="auto" w:fill="auto"/>
                <w:lang w:val="en-US" w:eastAsia="zh-CN"/>
              </w:rPr>
              <w:t>12</w:t>
            </w:r>
            <w:r>
              <w:rPr>
                <w:rFonts w:hint="eastAsia" w:hAnsi="宋体" w:cs="宋体"/>
                <w:color w:val="auto"/>
                <w:position w:val="-48"/>
                <w:sz w:val="25"/>
                <w:highlight w:val="none"/>
                <w:shd w:val="clear" w:color="auto" w:fill="auto"/>
              </w:rPr>
              <w:t>月</w:t>
            </w:r>
          </w:p>
        </w:tc>
      </w:tr>
    </w:tbl>
    <w:p>
      <w:pPr>
        <w:pStyle w:val="6"/>
        <w:overflowPunct w:val="0"/>
        <w:ind w:firstLine="0"/>
        <w:rPr>
          <w:rFonts w:hAnsi="宋体" w:eastAsia="宋体"/>
          <w:b/>
          <w:color w:val="auto"/>
          <w:sz w:val="44"/>
          <w:szCs w:val="44"/>
          <w:highlight w:val="none"/>
          <w:shd w:val="clear" w:color="auto" w:fill="auto"/>
        </w:rPr>
      </w:pPr>
    </w:p>
    <w:p>
      <w:pPr>
        <w:pStyle w:val="6"/>
        <w:overflowPunct w:val="0"/>
        <w:ind w:firstLine="0"/>
        <w:jc w:val="center"/>
        <w:rPr>
          <w:rFonts w:hAnsi="宋体" w:eastAsia="宋体"/>
          <w:b/>
          <w:color w:val="auto"/>
          <w:sz w:val="44"/>
          <w:szCs w:val="44"/>
          <w:highlight w:val="none"/>
          <w:shd w:val="clear" w:color="auto" w:fill="auto"/>
        </w:rPr>
      </w:pPr>
    </w:p>
    <w:p>
      <w:pPr>
        <w:pStyle w:val="6"/>
        <w:overflowPunct w:val="0"/>
        <w:ind w:firstLine="0"/>
        <w:jc w:val="center"/>
        <w:rPr>
          <w:rFonts w:hAnsi="宋体" w:eastAsia="宋体"/>
          <w:b/>
          <w:color w:val="auto"/>
          <w:sz w:val="44"/>
          <w:szCs w:val="44"/>
          <w:highlight w:val="none"/>
          <w:shd w:val="clear" w:color="auto" w:fill="auto"/>
        </w:rPr>
      </w:pPr>
    </w:p>
    <w:p>
      <w:pPr>
        <w:pStyle w:val="6"/>
        <w:overflowPunct w:val="0"/>
        <w:ind w:firstLine="0"/>
        <w:jc w:val="center"/>
        <w:rPr>
          <w:rFonts w:hAnsi="宋体" w:eastAsia="宋体"/>
          <w:b/>
          <w:color w:val="auto"/>
          <w:sz w:val="44"/>
          <w:szCs w:val="44"/>
          <w:highlight w:val="none"/>
          <w:shd w:val="clear" w:color="auto" w:fill="auto"/>
        </w:rPr>
      </w:pPr>
      <w:r>
        <w:rPr>
          <w:rFonts w:hAnsi="宋体" w:eastAsia="宋体"/>
          <w:b/>
          <w:color w:val="auto"/>
          <w:sz w:val="44"/>
          <w:szCs w:val="44"/>
          <w:highlight w:val="none"/>
          <w:shd w:val="clear" w:color="auto" w:fill="auto"/>
        </w:rPr>
        <w:br w:type="page"/>
      </w:r>
      <w:r>
        <w:rPr>
          <w:rFonts w:hint="eastAsia" w:hAnsi="宋体" w:eastAsia="宋体"/>
          <w:b/>
          <w:color w:val="auto"/>
          <w:sz w:val="44"/>
          <w:szCs w:val="44"/>
          <w:highlight w:val="none"/>
          <w:shd w:val="clear" w:color="auto" w:fill="auto"/>
        </w:rPr>
        <w:t>目  录</w:t>
      </w:r>
    </w:p>
    <w:p>
      <w:pPr>
        <w:pStyle w:val="6"/>
        <w:overflowPunct w:val="0"/>
        <w:ind w:firstLine="0"/>
        <w:jc w:val="center"/>
        <w:rPr>
          <w:rFonts w:hAnsi="宋体" w:eastAsia="宋体"/>
          <w:color w:val="auto"/>
          <w:sz w:val="30"/>
          <w:highlight w:val="none"/>
          <w:shd w:val="clear" w:color="auto" w:fill="auto"/>
        </w:rPr>
      </w:pPr>
    </w:p>
    <w:p>
      <w:pPr>
        <w:pStyle w:val="16"/>
        <w:tabs>
          <w:tab w:val="right" w:leader="dot" w:pos="9528"/>
        </w:tabs>
        <w:spacing w:line="1200" w:lineRule="exact"/>
        <w:rPr>
          <w:rFonts w:hint="eastAsia" w:hAnsi="宋体" w:eastAsia="宋体"/>
          <w:color w:val="auto"/>
          <w:sz w:val="32"/>
          <w:szCs w:val="32"/>
          <w:highlight w:val="none"/>
          <w:shd w:val="clear" w:color="auto" w:fill="auto"/>
          <w:lang w:eastAsia="zh-CN"/>
        </w:rPr>
      </w:pPr>
      <w:r>
        <w:rPr>
          <w:rFonts w:hAnsi="宋体" w:eastAsia="宋体"/>
          <w:b/>
          <w:bCs/>
          <w:color w:val="auto"/>
          <w:sz w:val="36"/>
          <w:szCs w:val="36"/>
          <w:highlight w:val="none"/>
          <w:shd w:val="clear" w:color="auto" w:fill="auto"/>
        </w:rPr>
        <w:fldChar w:fldCharType="begin"/>
      </w:r>
      <w:r>
        <w:rPr>
          <w:rFonts w:hAnsi="宋体" w:eastAsia="宋体"/>
          <w:b/>
          <w:bCs/>
          <w:color w:val="auto"/>
          <w:sz w:val="36"/>
          <w:szCs w:val="36"/>
          <w:highlight w:val="none"/>
          <w:shd w:val="clear" w:color="auto" w:fill="auto"/>
        </w:rPr>
        <w:instrText xml:space="preserve"> TOC \o "1-1" </w:instrText>
      </w:r>
      <w:r>
        <w:rPr>
          <w:rFonts w:hAnsi="宋体" w:eastAsia="宋体"/>
          <w:b/>
          <w:bCs/>
          <w:color w:val="auto"/>
          <w:sz w:val="36"/>
          <w:szCs w:val="36"/>
          <w:highlight w:val="none"/>
          <w:shd w:val="clear" w:color="auto" w:fill="auto"/>
        </w:rPr>
        <w:fldChar w:fldCharType="separate"/>
      </w:r>
      <w:r>
        <w:rPr>
          <w:rFonts w:hAnsi="宋体" w:eastAsia="宋体"/>
          <w:color w:val="auto"/>
          <w:sz w:val="32"/>
          <w:szCs w:val="32"/>
          <w:highlight w:val="none"/>
          <w:shd w:val="clear" w:color="auto" w:fill="auto"/>
        </w:rPr>
        <w:t xml:space="preserve">第一章 </w:t>
      </w:r>
      <w:r>
        <w:rPr>
          <w:rFonts w:hint="eastAsia" w:hAnsi="宋体" w:eastAsia="宋体"/>
          <w:color w:val="auto"/>
          <w:sz w:val="32"/>
          <w:szCs w:val="32"/>
          <w:highlight w:val="none"/>
          <w:shd w:val="clear" w:color="auto" w:fill="auto"/>
        </w:rPr>
        <w:t>竞争性磋商</w:t>
      </w:r>
      <w:r>
        <w:rPr>
          <w:rFonts w:hint="eastAsia" w:hAnsi="宋体" w:eastAsia="宋体"/>
          <w:color w:val="auto"/>
          <w:sz w:val="32"/>
          <w:szCs w:val="32"/>
          <w:highlight w:val="none"/>
          <w:shd w:val="clear" w:color="auto" w:fill="auto"/>
          <w:lang w:eastAsia="zh-CN"/>
        </w:rPr>
        <w:t>公告</w:t>
      </w:r>
    </w:p>
    <w:p>
      <w:pPr>
        <w:pStyle w:val="16"/>
        <w:tabs>
          <w:tab w:val="right" w:leader="dot" w:pos="9528"/>
        </w:tabs>
        <w:spacing w:line="1200" w:lineRule="exact"/>
        <w:rPr>
          <w:rFonts w:hAnsi="宋体" w:eastAsia="宋体"/>
          <w:color w:val="auto"/>
          <w:sz w:val="32"/>
          <w:szCs w:val="32"/>
          <w:highlight w:val="none"/>
          <w:shd w:val="clear" w:color="auto" w:fill="auto"/>
        </w:rPr>
      </w:pPr>
      <w:r>
        <w:rPr>
          <w:rFonts w:hAnsi="宋体" w:eastAsia="宋体"/>
          <w:color w:val="auto"/>
          <w:sz w:val="32"/>
          <w:szCs w:val="32"/>
          <w:highlight w:val="none"/>
          <w:shd w:val="clear" w:color="auto" w:fill="auto"/>
        </w:rPr>
        <w:t xml:space="preserve">第二章 </w:t>
      </w:r>
      <w:r>
        <w:rPr>
          <w:rFonts w:hint="eastAsia" w:hAnsi="宋体" w:eastAsia="宋体"/>
          <w:color w:val="auto"/>
          <w:sz w:val="32"/>
          <w:szCs w:val="32"/>
          <w:highlight w:val="none"/>
          <w:shd w:val="clear" w:color="auto" w:fill="auto"/>
        </w:rPr>
        <w:t>供应商</w:t>
      </w:r>
      <w:r>
        <w:rPr>
          <w:rFonts w:hAnsi="宋体" w:eastAsia="宋体"/>
          <w:color w:val="auto"/>
          <w:sz w:val="32"/>
          <w:szCs w:val="32"/>
          <w:highlight w:val="none"/>
          <w:shd w:val="clear" w:color="auto" w:fill="auto"/>
        </w:rPr>
        <w:t>须知</w:t>
      </w:r>
    </w:p>
    <w:p>
      <w:pPr>
        <w:pStyle w:val="16"/>
        <w:tabs>
          <w:tab w:val="right" w:leader="dot" w:pos="9528"/>
        </w:tabs>
        <w:spacing w:line="1200" w:lineRule="exact"/>
        <w:rPr>
          <w:rFonts w:hint="default" w:hAnsi="宋体" w:eastAsia="宋体"/>
          <w:color w:val="auto"/>
          <w:sz w:val="32"/>
          <w:szCs w:val="32"/>
          <w:highlight w:val="none"/>
          <w:shd w:val="clear" w:color="auto" w:fill="auto"/>
          <w:lang w:val="en-US" w:eastAsia="zh-CN"/>
        </w:rPr>
      </w:pPr>
      <w:r>
        <w:rPr>
          <w:rFonts w:hAnsi="宋体" w:eastAsia="宋体"/>
          <w:color w:val="auto"/>
          <w:sz w:val="32"/>
          <w:szCs w:val="32"/>
          <w:highlight w:val="none"/>
          <w:shd w:val="clear" w:color="auto" w:fill="auto"/>
        </w:rPr>
        <w:t xml:space="preserve">第三章 </w:t>
      </w:r>
      <w:r>
        <w:rPr>
          <w:rFonts w:hint="eastAsia" w:hAnsi="宋体" w:eastAsia="宋体"/>
          <w:color w:val="auto"/>
          <w:sz w:val="32"/>
          <w:szCs w:val="32"/>
          <w:highlight w:val="none"/>
          <w:shd w:val="clear" w:color="auto" w:fill="auto"/>
          <w:lang w:val="en-US" w:eastAsia="zh-CN"/>
        </w:rPr>
        <w:t>项目需求</w:t>
      </w:r>
    </w:p>
    <w:p>
      <w:pPr>
        <w:pStyle w:val="16"/>
        <w:tabs>
          <w:tab w:val="right" w:leader="dot" w:pos="9528"/>
        </w:tabs>
        <w:spacing w:line="1200" w:lineRule="exact"/>
        <w:rPr>
          <w:rFonts w:hAnsi="宋体" w:eastAsia="宋体"/>
          <w:color w:val="auto"/>
          <w:sz w:val="32"/>
          <w:szCs w:val="32"/>
          <w:highlight w:val="none"/>
          <w:shd w:val="clear" w:color="auto" w:fill="auto"/>
        </w:rPr>
      </w:pPr>
      <w:r>
        <w:rPr>
          <w:rFonts w:hAnsi="宋体" w:eastAsia="宋体"/>
          <w:color w:val="auto"/>
          <w:sz w:val="32"/>
          <w:szCs w:val="32"/>
          <w:highlight w:val="none"/>
          <w:shd w:val="clear" w:color="auto" w:fill="auto"/>
        </w:rPr>
        <w:t>第</w:t>
      </w:r>
      <w:r>
        <w:rPr>
          <w:rFonts w:hint="eastAsia" w:hAnsi="宋体" w:eastAsia="宋体"/>
          <w:color w:val="auto"/>
          <w:sz w:val="32"/>
          <w:szCs w:val="32"/>
          <w:highlight w:val="none"/>
          <w:shd w:val="clear" w:color="auto" w:fill="auto"/>
        </w:rPr>
        <w:t>四</w:t>
      </w:r>
      <w:r>
        <w:rPr>
          <w:rFonts w:hAnsi="宋体" w:eastAsia="宋体"/>
          <w:color w:val="auto"/>
          <w:sz w:val="32"/>
          <w:szCs w:val="32"/>
          <w:highlight w:val="none"/>
          <w:shd w:val="clear" w:color="auto" w:fill="auto"/>
        </w:rPr>
        <w:t xml:space="preserve">章 </w:t>
      </w:r>
      <w:r>
        <w:rPr>
          <w:rFonts w:hint="eastAsia" w:hAnsi="宋体" w:eastAsia="宋体"/>
          <w:color w:val="auto"/>
          <w:sz w:val="32"/>
          <w:szCs w:val="32"/>
          <w:highlight w:val="none"/>
          <w:shd w:val="clear" w:color="auto" w:fill="auto"/>
        </w:rPr>
        <w:t>评审方法和程序</w:t>
      </w:r>
    </w:p>
    <w:p>
      <w:pPr>
        <w:pStyle w:val="16"/>
        <w:tabs>
          <w:tab w:val="right" w:leader="dot" w:pos="9528"/>
        </w:tabs>
        <w:spacing w:line="1200" w:lineRule="exact"/>
        <w:rPr>
          <w:rFonts w:hAnsi="宋体" w:eastAsia="宋体"/>
          <w:color w:val="auto"/>
          <w:sz w:val="32"/>
          <w:szCs w:val="32"/>
          <w:highlight w:val="none"/>
          <w:shd w:val="clear" w:color="auto" w:fill="auto"/>
        </w:rPr>
      </w:pPr>
      <w:r>
        <w:rPr>
          <w:rFonts w:hint="eastAsia" w:hAnsi="宋体" w:eastAsia="宋体"/>
          <w:color w:val="auto"/>
          <w:sz w:val="32"/>
          <w:szCs w:val="32"/>
          <w:highlight w:val="none"/>
          <w:shd w:val="clear" w:color="auto" w:fill="auto"/>
        </w:rPr>
        <w:t>第五章</w:t>
      </w:r>
      <w:r>
        <w:rPr>
          <w:rFonts w:hAnsi="宋体" w:eastAsia="宋体"/>
          <w:color w:val="auto"/>
          <w:sz w:val="32"/>
          <w:szCs w:val="32"/>
          <w:highlight w:val="none"/>
          <w:shd w:val="clear" w:color="auto" w:fill="auto"/>
        </w:rPr>
        <w:t xml:space="preserve"> </w:t>
      </w:r>
      <w:r>
        <w:rPr>
          <w:rFonts w:hint="eastAsia" w:hAnsi="宋体" w:eastAsia="宋体"/>
          <w:color w:val="auto"/>
          <w:sz w:val="32"/>
          <w:szCs w:val="32"/>
          <w:highlight w:val="none"/>
          <w:shd w:val="clear" w:color="auto" w:fill="auto"/>
        </w:rPr>
        <w:t>合同授予</w:t>
      </w:r>
    </w:p>
    <w:p>
      <w:pPr>
        <w:spacing w:line="1200" w:lineRule="exact"/>
        <w:rPr>
          <w:rFonts w:hAnsi="宋体"/>
          <w:color w:val="auto"/>
          <w:sz w:val="32"/>
          <w:szCs w:val="32"/>
          <w:highlight w:val="none"/>
          <w:shd w:val="clear" w:color="auto" w:fill="auto"/>
        </w:rPr>
      </w:pPr>
      <w:r>
        <w:rPr>
          <w:rFonts w:hAnsi="宋体"/>
          <w:color w:val="auto"/>
          <w:sz w:val="32"/>
          <w:szCs w:val="32"/>
          <w:highlight w:val="none"/>
          <w:shd w:val="clear" w:color="auto" w:fill="auto"/>
        </w:rPr>
        <w:t>第</w:t>
      </w:r>
      <w:r>
        <w:rPr>
          <w:rFonts w:hint="eastAsia" w:hAnsi="宋体"/>
          <w:color w:val="auto"/>
          <w:sz w:val="32"/>
          <w:szCs w:val="32"/>
          <w:highlight w:val="none"/>
          <w:shd w:val="clear" w:color="auto" w:fill="auto"/>
        </w:rPr>
        <w:t>六</w:t>
      </w:r>
      <w:r>
        <w:rPr>
          <w:rFonts w:hAnsi="宋体"/>
          <w:color w:val="auto"/>
          <w:sz w:val="32"/>
          <w:szCs w:val="32"/>
          <w:highlight w:val="none"/>
          <w:shd w:val="clear" w:color="auto" w:fill="auto"/>
        </w:rPr>
        <w:t>章</w:t>
      </w:r>
      <w:r>
        <w:rPr>
          <w:rFonts w:hint="eastAsia" w:hAnsi="宋体"/>
          <w:color w:val="auto"/>
          <w:sz w:val="32"/>
          <w:szCs w:val="32"/>
          <w:highlight w:val="none"/>
          <w:shd w:val="clear" w:color="auto" w:fill="auto"/>
        </w:rPr>
        <w:t xml:space="preserve"> 质疑提出和处理</w:t>
      </w:r>
    </w:p>
    <w:p>
      <w:pPr>
        <w:spacing w:line="1200" w:lineRule="exact"/>
        <w:rPr>
          <w:rFonts w:hAnsi="宋体"/>
          <w:color w:val="auto"/>
          <w:sz w:val="36"/>
          <w:szCs w:val="36"/>
          <w:highlight w:val="none"/>
          <w:shd w:val="clear" w:color="auto" w:fill="auto"/>
        </w:rPr>
      </w:pPr>
      <w:r>
        <w:rPr>
          <w:rFonts w:hint="eastAsia" w:hAnsi="宋体"/>
          <w:color w:val="auto"/>
          <w:sz w:val="32"/>
          <w:szCs w:val="32"/>
          <w:highlight w:val="none"/>
          <w:shd w:val="clear" w:color="auto" w:fill="auto"/>
        </w:rPr>
        <w:t>第七章 响应文件组成及格式</w:t>
      </w:r>
    </w:p>
    <w:p>
      <w:pPr>
        <w:rPr>
          <w:rFonts w:hAnsi="宋体"/>
          <w:b/>
          <w:bCs/>
          <w:color w:val="auto"/>
          <w:sz w:val="36"/>
          <w:szCs w:val="36"/>
          <w:highlight w:val="none"/>
          <w:shd w:val="clear" w:color="auto" w:fill="auto"/>
        </w:rPr>
      </w:pPr>
      <w:r>
        <w:rPr>
          <w:rFonts w:hAnsi="宋体"/>
          <w:b/>
          <w:bCs/>
          <w:color w:val="auto"/>
          <w:sz w:val="36"/>
          <w:szCs w:val="36"/>
          <w:highlight w:val="none"/>
          <w:shd w:val="clear" w:color="auto" w:fill="auto"/>
        </w:rPr>
        <w:fldChar w:fldCharType="end"/>
      </w:r>
    </w:p>
    <w:p>
      <w:pPr>
        <w:rPr>
          <w:rFonts w:hAnsi="宋体"/>
          <w:b/>
          <w:bCs/>
          <w:color w:val="auto"/>
          <w:sz w:val="36"/>
          <w:szCs w:val="36"/>
          <w:highlight w:val="none"/>
          <w:shd w:val="clear" w:color="auto" w:fill="auto"/>
        </w:rPr>
      </w:pPr>
    </w:p>
    <w:p>
      <w:pPr>
        <w:rPr>
          <w:rFonts w:hAnsi="宋体"/>
          <w:b/>
          <w:bCs/>
          <w:color w:val="auto"/>
          <w:sz w:val="36"/>
          <w:szCs w:val="36"/>
          <w:highlight w:val="none"/>
          <w:shd w:val="clear" w:color="auto" w:fill="auto"/>
        </w:rPr>
      </w:pPr>
    </w:p>
    <w:p>
      <w:pPr>
        <w:rPr>
          <w:rFonts w:hAnsi="宋体"/>
          <w:b/>
          <w:bCs/>
          <w:color w:val="auto"/>
          <w:sz w:val="36"/>
          <w:szCs w:val="36"/>
          <w:highlight w:val="none"/>
          <w:shd w:val="clear" w:color="auto" w:fill="auto"/>
        </w:rPr>
      </w:pPr>
    </w:p>
    <w:p>
      <w:pPr>
        <w:snapToGrid w:val="0"/>
        <w:spacing w:line="360" w:lineRule="auto"/>
        <w:rPr>
          <w:rFonts w:hAnsi="宋体" w:cs="宋体"/>
          <w:b/>
          <w:color w:val="auto"/>
          <w:szCs w:val="21"/>
          <w:highlight w:val="none"/>
          <w:shd w:val="clear" w:color="auto" w:fill="auto"/>
        </w:rPr>
      </w:pPr>
      <w:r>
        <w:rPr>
          <w:rFonts w:hAnsi="宋体"/>
          <w:color w:val="auto"/>
          <w:w w:val="80"/>
          <w:szCs w:val="44"/>
          <w:highlight w:val="none"/>
          <w:shd w:val="clear" w:color="auto" w:fill="auto"/>
        </w:rPr>
        <w:br w:type="page"/>
      </w:r>
      <w:r>
        <w:rPr>
          <w:rFonts w:hint="eastAsia" w:hAnsi="宋体" w:cs="宋体"/>
          <w:b/>
          <w:color w:val="auto"/>
          <w:szCs w:val="21"/>
          <w:highlight w:val="none"/>
          <w:shd w:val="clear" w:color="auto" w:fill="auto"/>
        </w:rPr>
        <w:t>尊敬的供应商：</w:t>
      </w:r>
    </w:p>
    <w:p>
      <w:pPr>
        <w:pStyle w:val="3"/>
        <w:keepNext w:val="0"/>
        <w:keepLines w:val="0"/>
        <w:adjustRightInd w:val="0"/>
        <w:snapToGrid w:val="0"/>
        <w:spacing w:before="0" w:after="0" w:line="360" w:lineRule="auto"/>
        <w:ind w:firstLine="420" w:firstLineChars="200"/>
        <w:jc w:val="left"/>
        <w:textAlignment w:val="baseline"/>
        <w:rPr>
          <w:rFonts w:ascii="宋体" w:hAnsi="宋体" w:eastAsia="宋体"/>
          <w:color w:val="auto"/>
          <w:w w:val="80"/>
          <w:szCs w:val="44"/>
          <w:highlight w:val="none"/>
          <w:shd w:val="clear" w:color="auto" w:fill="auto"/>
        </w:rPr>
      </w:pPr>
      <w:r>
        <w:rPr>
          <w:rFonts w:hint="eastAsia" w:ascii="宋体" w:hAnsi="宋体" w:eastAsia="宋体" w:cs="宋体"/>
          <w:color w:val="auto"/>
          <w:kern w:val="2"/>
          <w:sz w:val="21"/>
          <w:szCs w:val="21"/>
          <w:highlight w:val="none"/>
          <w:shd w:val="clear" w:color="auto" w:fill="auto"/>
        </w:rPr>
        <w:t>欢迎参加本采购项目的竞争性磋商。为了保证本次磋商项目顺利进行，请在制作响应文件之前，仔细阅读本竞争性磋商文件的各项条款，并按要求制作和递交响应文件。谢谢合作！</w:t>
      </w:r>
    </w:p>
    <w:p>
      <w:pPr>
        <w:pStyle w:val="3"/>
        <w:keepNext w:val="0"/>
        <w:keepLines w:val="0"/>
        <w:adjustRightInd w:val="0"/>
        <w:snapToGrid w:val="0"/>
        <w:spacing w:before="0" w:after="0" w:line="800" w:lineRule="exact"/>
        <w:jc w:val="center"/>
        <w:textAlignment w:val="baseline"/>
        <w:rPr>
          <w:rFonts w:hint="eastAsia" w:ascii="宋体" w:hAnsi="宋体" w:eastAsia="宋体"/>
          <w:color w:val="auto"/>
          <w:w w:val="80"/>
          <w:szCs w:val="44"/>
          <w:highlight w:val="none"/>
          <w:shd w:val="clear" w:color="auto" w:fill="auto"/>
          <w:lang w:eastAsia="zh-CN"/>
        </w:rPr>
      </w:pPr>
      <w:bookmarkStart w:id="7" w:name="_GoBack"/>
      <w:r>
        <w:rPr>
          <w:rFonts w:hint="eastAsia" w:ascii="宋体" w:hAnsi="宋体" w:eastAsia="宋体"/>
          <w:color w:val="auto"/>
          <w:w w:val="80"/>
          <w:szCs w:val="44"/>
          <w:highlight w:val="none"/>
          <w:shd w:val="clear" w:color="auto" w:fill="auto"/>
        </w:rPr>
        <w:t>第一章  竞争性磋商</w:t>
      </w:r>
      <w:r>
        <w:rPr>
          <w:rFonts w:hint="eastAsia" w:ascii="宋体" w:hAnsi="宋体" w:eastAsia="宋体"/>
          <w:color w:val="auto"/>
          <w:w w:val="80"/>
          <w:szCs w:val="44"/>
          <w:highlight w:val="none"/>
          <w:shd w:val="clear" w:color="auto" w:fill="auto"/>
          <w:lang w:eastAsia="zh-CN"/>
        </w:rPr>
        <w:t>公告</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江苏正扬招标代理有限公司（以下简称代理机构）受</w:t>
      </w:r>
      <w:r>
        <w:rPr>
          <w:rFonts w:hint="eastAsia" w:hAnsi="宋体"/>
          <w:color w:val="auto"/>
          <w:szCs w:val="21"/>
          <w:highlight w:val="none"/>
          <w:shd w:val="clear" w:color="auto" w:fill="auto"/>
          <w:lang w:eastAsia="zh-CN"/>
        </w:rPr>
        <w:t>南通博物苑</w:t>
      </w:r>
      <w:r>
        <w:rPr>
          <w:rFonts w:hint="eastAsia" w:hAnsi="宋体"/>
          <w:color w:val="auto"/>
          <w:szCs w:val="21"/>
          <w:highlight w:val="none"/>
          <w:shd w:val="clear" w:color="auto" w:fill="auto"/>
        </w:rPr>
        <w:t>（以下简称采购人）的委托，对</w:t>
      </w:r>
      <w:r>
        <w:rPr>
          <w:rFonts w:hint="eastAsia" w:hAnsi="宋体"/>
          <w:color w:val="auto"/>
          <w:szCs w:val="21"/>
          <w:highlight w:val="none"/>
          <w:shd w:val="clear" w:color="auto" w:fill="auto"/>
          <w:lang w:eastAsia="zh-CN"/>
        </w:rPr>
        <w:t>“乾隆的假期——清代宫廷节令礼俗展”展览服务项目</w:t>
      </w:r>
      <w:r>
        <w:rPr>
          <w:rFonts w:hint="eastAsia" w:hAnsi="宋体"/>
          <w:color w:val="auto"/>
          <w:szCs w:val="21"/>
          <w:highlight w:val="none"/>
          <w:shd w:val="clear" w:color="auto" w:fill="auto"/>
        </w:rPr>
        <w:t>组织竞争性磋商采购，诚邀符合条件的潜在供应商参加该项目的竞争性磋商。</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一、项目基本情况</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1.项目名称：</w:t>
      </w:r>
      <w:r>
        <w:rPr>
          <w:rFonts w:hint="eastAsia" w:hAnsi="宋体"/>
          <w:color w:val="auto"/>
          <w:szCs w:val="21"/>
          <w:highlight w:val="none"/>
          <w:shd w:val="clear" w:color="auto" w:fill="auto"/>
          <w:lang w:eastAsia="zh-CN"/>
        </w:rPr>
        <w:t>“乾隆的假期——清代宫廷节令礼俗展”展览服务项目</w:t>
      </w:r>
      <w:r>
        <w:rPr>
          <w:rFonts w:hint="eastAsia" w:hAnsi="宋体"/>
          <w:color w:val="auto"/>
          <w:szCs w:val="21"/>
          <w:highlight w:val="none"/>
          <w:shd w:val="clear" w:color="auto" w:fill="auto"/>
        </w:rPr>
        <w:t>；</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2.采购方式：竞争性磋商；</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rPr>
        <w:t>3.项目预算：</w:t>
      </w:r>
      <w:r>
        <w:rPr>
          <w:rFonts w:hint="eastAsia" w:hAnsi="宋体"/>
          <w:color w:val="auto"/>
          <w:szCs w:val="21"/>
          <w:highlight w:val="none"/>
          <w:shd w:val="clear" w:color="auto" w:fill="auto"/>
          <w:lang w:val="en-US" w:eastAsia="zh-CN"/>
        </w:rPr>
        <w:t>30万元</w:t>
      </w:r>
      <w:r>
        <w:rPr>
          <w:rFonts w:hint="eastAsia" w:hAnsi="宋体"/>
          <w:color w:val="auto"/>
          <w:szCs w:val="21"/>
          <w:highlight w:val="none"/>
          <w:shd w:val="clear" w:color="auto" w:fill="auto"/>
        </w:rPr>
        <w:t>；</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rPr>
        <w:t>4.最高限价：</w:t>
      </w:r>
      <w:r>
        <w:rPr>
          <w:rFonts w:hint="eastAsia" w:hAnsi="宋体"/>
          <w:color w:val="auto"/>
          <w:szCs w:val="21"/>
          <w:highlight w:val="none"/>
          <w:shd w:val="clear" w:color="auto" w:fill="auto"/>
          <w:lang w:val="en-US" w:eastAsia="zh-CN"/>
        </w:rPr>
        <w:t>30万元</w:t>
      </w:r>
      <w:r>
        <w:rPr>
          <w:rFonts w:hint="eastAsia" w:hAnsi="宋体"/>
          <w:color w:val="auto"/>
          <w:szCs w:val="21"/>
          <w:highlight w:val="none"/>
          <w:shd w:val="clear" w:color="auto" w:fill="auto"/>
        </w:rPr>
        <w:t>；</w:t>
      </w:r>
    </w:p>
    <w:p>
      <w:pPr>
        <w:spacing w:line="480" w:lineRule="exact"/>
        <w:ind w:firstLine="420" w:firstLineChars="200"/>
        <w:rPr>
          <w:rFonts w:hint="default" w:hAnsi="宋体"/>
          <w:color w:val="auto"/>
          <w:szCs w:val="21"/>
          <w:highlight w:val="none"/>
          <w:shd w:val="clear" w:color="auto" w:fill="auto"/>
          <w:lang w:val="en-US" w:eastAsia="zh-CN"/>
        </w:rPr>
      </w:pPr>
      <w:r>
        <w:rPr>
          <w:rFonts w:hint="eastAsia" w:hAnsi="宋体"/>
          <w:color w:val="auto"/>
          <w:szCs w:val="21"/>
          <w:highlight w:val="none"/>
          <w:shd w:val="clear" w:color="auto" w:fill="auto"/>
        </w:rPr>
        <w:t>5.采购需求：</w:t>
      </w:r>
      <w:r>
        <w:rPr>
          <w:rFonts w:hint="eastAsia" w:hAnsi="宋体"/>
          <w:color w:val="auto"/>
          <w:szCs w:val="21"/>
          <w:highlight w:val="none"/>
          <w:shd w:val="clear" w:color="auto" w:fill="auto"/>
          <w:lang w:val="en-US" w:eastAsia="zh-CN"/>
        </w:rPr>
        <w:t>详见第三章；</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rPr>
        <w:t>6.合同履行期限：</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至活动结束撤展完成</w:t>
      </w:r>
      <w:r>
        <w:rPr>
          <w:rFonts w:hint="eastAsia" w:hAnsi="宋体"/>
          <w:color w:val="auto"/>
          <w:szCs w:val="21"/>
          <w:highlight w:val="none"/>
          <w:shd w:val="clear" w:color="auto" w:fill="auto"/>
          <w:lang w:val="en-US" w:eastAsia="zh-CN"/>
        </w:rPr>
        <w:t>；</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7.本项目不接受联合体参与磋商。</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二、供应商资格要求</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提供证明材料或承诺函，承诺函格式自拟）。</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供应商其它资格要求：</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2.供应商提供有效的营业执照等具有独立承担民事责任能力的证明材料复印件。</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rPr>
        <w:t>3.供应商法定代表人参加磋商的，必须提供法定代表人身份证明及法定代表人本人身份证复印件；非法定代表人参加磋商的，必须提供法定代表人签字或盖章的授权委托书及法定代表人、被授权人的两人身份证的复印件。</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lang w:val="en-US" w:eastAsia="zh-CN"/>
        </w:rPr>
        <w:t>4.</w:t>
      </w:r>
      <w:r>
        <w:rPr>
          <w:rFonts w:hint="eastAsia" w:hAnsi="宋体"/>
          <w:color w:val="auto"/>
          <w:szCs w:val="21"/>
          <w:highlight w:val="none"/>
          <w:shd w:val="clear" w:color="auto" w:fill="auto"/>
        </w:rPr>
        <w:t>供应商须提供参与本次项目采购活动前三年内，在经营活动中没有重大违法记录的书面《无重大违法记录声明函》（</w:t>
      </w:r>
      <w:r>
        <w:rPr>
          <w:rFonts w:hint="eastAsia" w:hAnsi="宋体"/>
          <w:color w:val="auto"/>
          <w:szCs w:val="21"/>
          <w:highlight w:val="none"/>
          <w:shd w:val="clear" w:color="auto" w:fill="auto"/>
          <w:lang w:eastAsia="zh-CN"/>
        </w:rPr>
        <w:t>格式参见附件</w:t>
      </w:r>
      <w:r>
        <w:rPr>
          <w:rFonts w:hint="eastAsia" w:hAnsi="宋体"/>
          <w:color w:val="auto"/>
          <w:szCs w:val="21"/>
          <w:highlight w:val="none"/>
          <w:shd w:val="clear" w:color="auto" w:fill="auto"/>
        </w:rPr>
        <w:t>）。</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lang w:val="en-US" w:eastAsia="zh-CN"/>
        </w:rPr>
        <w:t>5</w:t>
      </w:r>
      <w:r>
        <w:rPr>
          <w:rFonts w:hint="eastAsia" w:hAnsi="宋体"/>
          <w:color w:val="auto"/>
          <w:szCs w:val="21"/>
          <w:highlight w:val="none"/>
          <w:shd w:val="clear" w:color="auto" w:fill="auto"/>
        </w:rPr>
        <w:t>.关于资格文件的声明函（</w:t>
      </w:r>
      <w:r>
        <w:rPr>
          <w:rFonts w:hint="eastAsia" w:hAnsi="宋体"/>
          <w:color w:val="auto"/>
          <w:szCs w:val="21"/>
          <w:highlight w:val="none"/>
          <w:shd w:val="clear" w:color="auto" w:fill="auto"/>
          <w:lang w:eastAsia="zh-CN"/>
        </w:rPr>
        <w:t>格式参见附件</w:t>
      </w:r>
      <w:r>
        <w:rPr>
          <w:rFonts w:hint="eastAsia" w:hAnsi="宋体"/>
          <w:color w:val="auto"/>
          <w:szCs w:val="21"/>
          <w:highlight w:val="none"/>
          <w:shd w:val="clear" w:color="auto" w:fill="auto"/>
        </w:rPr>
        <w:t>）。</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具体资格要求详见第七章中的“资格审查文件”。</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请供应商认真对照资格要求，如不符合要求，仍参与磋商的，所产生的一切后果由供应商承担。对提供虚假材料的响应供应商作无效响应处理。</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三、获取采购文件</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color w:val="auto"/>
          <w:szCs w:val="21"/>
          <w:highlight w:val="none"/>
          <w:shd w:val="clear" w:color="auto" w:fill="auto"/>
          <w:lang w:val="en-US" w:eastAsia="zh-CN"/>
        </w:rPr>
        <w:t>1.</w:t>
      </w:r>
      <w:r>
        <w:rPr>
          <w:rFonts w:hint="default" w:hAnsi="宋体"/>
          <w:color w:val="auto"/>
          <w:szCs w:val="21"/>
          <w:highlight w:val="none"/>
          <w:shd w:val="clear" w:color="auto" w:fill="auto"/>
        </w:rPr>
        <w:t>地点：南通市文化广电和旅游局-政府采购栏、南通博物苑-资讯-招标信息栏</w:t>
      </w:r>
      <w:r>
        <w:rPr>
          <w:rFonts w:hint="eastAsia" w:hAnsi="宋体"/>
          <w:color w:val="auto"/>
          <w:szCs w:val="21"/>
          <w:highlight w:val="none"/>
          <w:shd w:val="clear" w:color="auto" w:fill="auto"/>
          <w:lang w:eastAsia="zh-CN"/>
        </w:rPr>
        <w:t>；</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color w:val="auto"/>
          <w:szCs w:val="21"/>
          <w:highlight w:val="none"/>
          <w:shd w:val="clear" w:color="auto" w:fill="auto"/>
          <w:lang w:val="en-US" w:eastAsia="zh-CN"/>
        </w:rPr>
        <w:t>2.</w:t>
      </w:r>
      <w:r>
        <w:rPr>
          <w:rFonts w:hint="default" w:hAnsi="宋体"/>
          <w:color w:val="auto"/>
          <w:szCs w:val="21"/>
          <w:highlight w:val="none"/>
          <w:shd w:val="clear" w:color="auto" w:fill="auto"/>
        </w:rPr>
        <w:t>方式：自行下载</w:t>
      </w:r>
      <w:r>
        <w:rPr>
          <w:rFonts w:hint="eastAsia" w:hAnsi="宋体"/>
          <w:color w:val="auto"/>
          <w:szCs w:val="21"/>
          <w:highlight w:val="none"/>
          <w:shd w:val="clear" w:color="auto" w:fill="auto"/>
          <w:lang w:eastAsia="zh-CN"/>
        </w:rPr>
        <w:t>；</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lang w:val="en-US" w:eastAsia="zh-CN"/>
        </w:rPr>
        <w:t>3</w:t>
      </w:r>
      <w:r>
        <w:rPr>
          <w:rFonts w:hint="eastAsia" w:hAnsi="宋体"/>
          <w:color w:val="auto"/>
          <w:szCs w:val="21"/>
          <w:highlight w:val="none"/>
          <w:shd w:val="clear" w:color="auto" w:fill="auto"/>
        </w:rPr>
        <w:t>.有关本次招标的事项若存在变动或修改，敬请及时关注</w:t>
      </w:r>
      <w:r>
        <w:rPr>
          <w:rFonts w:hint="eastAsia" w:hAnsi="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南通市文化广电和旅游局-政府采购栏</w:t>
      </w:r>
      <w:r>
        <w:rPr>
          <w:rFonts w:hint="eastAsia" w:hAnsi="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“南通博物苑-资讯-招标信息栏”</w:t>
      </w:r>
      <w:r>
        <w:rPr>
          <w:rFonts w:hint="eastAsia" w:hAnsi="宋体"/>
          <w:color w:val="auto"/>
          <w:szCs w:val="21"/>
          <w:highlight w:val="none"/>
          <w:shd w:val="clear" w:color="auto" w:fill="auto"/>
        </w:rPr>
        <w:t>发布的信息更正公告，恕不另行通知，如有遗漏采购人概不负责。</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四、响应文件提交</w:t>
      </w:r>
    </w:p>
    <w:p>
      <w:pPr>
        <w:spacing w:line="480" w:lineRule="exact"/>
        <w:ind w:firstLine="420" w:firstLineChars="200"/>
        <w:rPr>
          <w:rFonts w:hint="eastAsia" w:hAnsi="宋体"/>
          <w:b w:val="0"/>
          <w:bCs w:val="0"/>
          <w:color w:val="auto"/>
          <w:szCs w:val="21"/>
          <w:highlight w:val="none"/>
          <w:shd w:val="clear" w:color="auto" w:fill="auto"/>
        </w:rPr>
      </w:pPr>
      <w:r>
        <w:rPr>
          <w:rFonts w:hint="eastAsia" w:hAnsi="宋体"/>
          <w:b w:val="0"/>
          <w:bCs w:val="0"/>
          <w:color w:val="auto"/>
          <w:szCs w:val="21"/>
          <w:highlight w:val="none"/>
          <w:shd w:val="clear" w:color="auto" w:fill="auto"/>
        </w:rPr>
        <w:t>1.响应文件接收截止及评审开始时间：</w:t>
      </w:r>
      <w:r>
        <w:rPr>
          <w:rFonts w:hint="eastAsia" w:hAnsi="宋体"/>
          <w:b/>
          <w:bCs/>
          <w:color w:val="auto"/>
          <w:szCs w:val="21"/>
          <w:highlight w:val="none"/>
          <w:shd w:val="clear" w:color="auto" w:fill="auto"/>
        </w:rPr>
        <w:t>2024年</w:t>
      </w:r>
      <w:r>
        <w:rPr>
          <w:rFonts w:hint="eastAsia" w:hAnsi="宋体"/>
          <w:b/>
          <w:bCs/>
          <w:color w:val="auto"/>
          <w:szCs w:val="21"/>
          <w:highlight w:val="none"/>
          <w:shd w:val="clear" w:color="auto" w:fill="auto"/>
          <w:lang w:val="en-US" w:eastAsia="zh-CN"/>
        </w:rPr>
        <w:t>12</w:t>
      </w:r>
      <w:r>
        <w:rPr>
          <w:rFonts w:hint="eastAsia" w:hAnsi="宋体"/>
          <w:b/>
          <w:bCs/>
          <w:color w:val="auto"/>
          <w:szCs w:val="21"/>
          <w:highlight w:val="none"/>
          <w:shd w:val="clear" w:color="auto" w:fill="auto"/>
        </w:rPr>
        <w:t>月</w:t>
      </w:r>
      <w:r>
        <w:rPr>
          <w:rFonts w:hint="eastAsia" w:hAnsi="宋体"/>
          <w:b/>
          <w:bCs/>
          <w:color w:val="auto"/>
          <w:szCs w:val="21"/>
          <w:highlight w:val="none"/>
          <w:shd w:val="clear" w:color="auto" w:fill="auto"/>
          <w:lang w:val="en-US" w:eastAsia="zh-CN"/>
        </w:rPr>
        <w:t>31</w:t>
      </w:r>
      <w:r>
        <w:rPr>
          <w:rFonts w:hint="eastAsia" w:hAnsi="宋体"/>
          <w:b/>
          <w:bCs/>
          <w:color w:val="auto"/>
          <w:szCs w:val="21"/>
          <w:highlight w:val="none"/>
          <w:shd w:val="clear" w:color="auto" w:fill="auto"/>
        </w:rPr>
        <w:t>日</w:t>
      </w:r>
      <w:r>
        <w:rPr>
          <w:rFonts w:hint="eastAsia" w:hAnsi="宋体"/>
          <w:b/>
          <w:bCs/>
          <w:color w:val="auto"/>
          <w:szCs w:val="21"/>
          <w:highlight w:val="none"/>
          <w:shd w:val="clear" w:color="auto" w:fill="auto"/>
          <w:lang w:val="en-US" w:eastAsia="zh-CN"/>
        </w:rPr>
        <w:t>09</w:t>
      </w:r>
      <w:r>
        <w:rPr>
          <w:rFonts w:hint="eastAsia" w:hAnsi="宋体"/>
          <w:b/>
          <w:bCs/>
          <w:color w:val="auto"/>
          <w:szCs w:val="21"/>
          <w:highlight w:val="none"/>
          <w:shd w:val="clear" w:color="auto" w:fill="auto"/>
        </w:rPr>
        <w:t>时</w:t>
      </w:r>
      <w:r>
        <w:rPr>
          <w:rFonts w:hint="eastAsia" w:hAnsi="宋体"/>
          <w:b/>
          <w:bCs/>
          <w:color w:val="auto"/>
          <w:szCs w:val="21"/>
          <w:highlight w:val="none"/>
          <w:shd w:val="clear" w:color="auto" w:fill="auto"/>
          <w:lang w:val="en-US" w:eastAsia="zh-CN"/>
        </w:rPr>
        <w:t>30</w:t>
      </w:r>
      <w:r>
        <w:rPr>
          <w:rFonts w:hint="eastAsia" w:hAnsi="宋体"/>
          <w:b/>
          <w:bCs/>
          <w:color w:val="auto"/>
          <w:szCs w:val="21"/>
          <w:highlight w:val="none"/>
          <w:shd w:val="clear" w:color="auto" w:fill="auto"/>
        </w:rPr>
        <w:t>分</w:t>
      </w:r>
      <w:r>
        <w:rPr>
          <w:rFonts w:hint="eastAsia" w:hAnsi="宋体"/>
          <w:b w:val="0"/>
          <w:bCs w:val="0"/>
          <w:color w:val="auto"/>
          <w:szCs w:val="21"/>
          <w:highlight w:val="none"/>
          <w:shd w:val="clear" w:color="auto" w:fill="auto"/>
        </w:rPr>
        <w:t>（北京时间）</w:t>
      </w:r>
    </w:p>
    <w:p>
      <w:pPr>
        <w:spacing w:line="480" w:lineRule="exact"/>
        <w:ind w:firstLine="420" w:firstLineChars="200"/>
        <w:rPr>
          <w:rFonts w:hint="eastAsia" w:hAnsi="宋体"/>
          <w:b w:val="0"/>
          <w:bCs w:val="0"/>
          <w:color w:val="auto"/>
          <w:szCs w:val="21"/>
          <w:highlight w:val="none"/>
          <w:shd w:val="clear" w:color="auto" w:fill="auto"/>
        </w:rPr>
      </w:pPr>
      <w:r>
        <w:rPr>
          <w:rFonts w:hint="eastAsia" w:hAnsi="宋体"/>
          <w:b w:val="0"/>
          <w:bCs w:val="0"/>
          <w:color w:val="auto"/>
          <w:szCs w:val="21"/>
          <w:highlight w:val="none"/>
          <w:shd w:val="clear" w:color="auto" w:fill="auto"/>
        </w:rPr>
        <w:t>2.响应文件递交地址：南通市行政中心综合楼</w:t>
      </w:r>
      <w:r>
        <w:rPr>
          <w:rFonts w:hint="eastAsia" w:hAnsi="宋体"/>
          <w:b w:val="0"/>
          <w:bCs w:val="0"/>
          <w:color w:val="auto"/>
          <w:szCs w:val="21"/>
          <w:highlight w:val="none"/>
          <w:shd w:val="clear" w:color="auto" w:fill="auto"/>
          <w:lang w:val="en-US" w:eastAsia="zh-CN"/>
        </w:rPr>
        <w:t>538</w:t>
      </w:r>
      <w:r>
        <w:rPr>
          <w:rFonts w:hint="eastAsia" w:hAnsi="宋体"/>
          <w:b w:val="0"/>
          <w:bCs w:val="0"/>
          <w:color w:val="auto"/>
          <w:szCs w:val="21"/>
          <w:highlight w:val="none"/>
          <w:shd w:val="clear" w:color="auto" w:fill="auto"/>
        </w:rPr>
        <w:t>会议室（南通市崇川区世纪大道6号），如有变动另行通知。</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五、开启</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rPr>
        <w:t>1.响应文件开启时间：</w:t>
      </w:r>
      <w:r>
        <w:rPr>
          <w:rFonts w:hint="eastAsia" w:hAnsi="宋体"/>
          <w:b/>
          <w:bCs/>
          <w:color w:val="auto"/>
          <w:szCs w:val="21"/>
          <w:highlight w:val="none"/>
          <w:shd w:val="clear" w:color="auto" w:fill="auto"/>
        </w:rPr>
        <w:t>2024年</w:t>
      </w:r>
      <w:r>
        <w:rPr>
          <w:rFonts w:hint="eastAsia" w:hAnsi="宋体"/>
          <w:b/>
          <w:bCs/>
          <w:color w:val="auto"/>
          <w:szCs w:val="21"/>
          <w:highlight w:val="none"/>
          <w:shd w:val="clear" w:color="auto" w:fill="auto"/>
          <w:lang w:val="en-US" w:eastAsia="zh-CN"/>
        </w:rPr>
        <w:t>12</w:t>
      </w:r>
      <w:r>
        <w:rPr>
          <w:rFonts w:hint="eastAsia" w:hAnsi="宋体"/>
          <w:b/>
          <w:bCs/>
          <w:color w:val="auto"/>
          <w:szCs w:val="21"/>
          <w:highlight w:val="none"/>
          <w:shd w:val="clear" w:color="auto" w:fill="auto"/>
        </w:rPr>
        <w:t>月</w:t>
      </w:r>
      <w:r>
        <w:rPr>
          <w:rFonts w:hint="eastAsia" w:hAnsi="宋体"/>
          <w:b/>
          <w:bCs/>
          <w:color w:val="auto"/>
          <w:szCs w:val="21"/>
          <w:highlight w:val="none"/>
          <w:shd w:val="clear" w:color="auto" w:fill="auto"/>
          <w:lang w:val="en-US" w:eastAsia="zh-CN"/>
        </w:rPr>
        <w:t>31</w:t>
      </w:r>
      <w:r>
        <w:rPr>
          <w:rFonts w:hint="eastAsia" w:hAnsi="宋体"/>
          <w:b/>
          <w:bCs/>
          <w:color w:val="auto"/>
          <w:szCs w:val="21"/>
          <w:highlight w:val="none"/>
          <w:shd w:val="clear" w:color="auto" w:fill="auto"/>
        </w:rPr>
        <w:t>日</w:t>
      </w:r>
      <w:r>
        <w:rPr>
          <w:rFonts w:hint="eastAsia" w:hAnsi="宋体"/>
          <w:b/>
          <w:bCs/>
          <w:color w:val="auto"/>
          <w:szCs w:val="21"/>
          <w:highlight w:val="none"/>
          <w:shd w:val="clear" w:color="auto" w:fill="auto"/>
          <w:lang w:val="en-US" w:eastAsia="zh-CN"/>
        </w:rPr>
        <w:t>09</w:t>
      </w:r>
      <w:r>
        <w:rPr>
          <w:rFonts w:hint="eastAsia" w:hAnsi="宋体"/>
          <w:b/>
          <w:bCs/>
          <w:color w:val="auto"/>
          <w:szCs w:val="21"/>
          <w:highlight w:val="none"/>
          <w:shd w:val="clear" w:color="auto" w:fill="auto"/>
        </w:rPr>
        <w:t>时</w:t>
      </w:r>
      <w:r>
        <w:rPr>
          <w:rFonts w:hint="eastAsia" w:hAnsi="宋体"/>
          <w:b/>
          <w:bCs/>
          <w:color w:val="auto"/>
          <w:szCs w:val="21"/>
          <w:highlight w:val="none"/>
          <w:shd w:val="clear" w:color="auto" w:fill="auto"/>
          <w:lang w:val="en-US" w:eastAsia="zh-CN"/>
        </w:rPr>
        <w:t>30</w:t>
      </w:r>
      <w:r>
        <w:rPr>
          <w:rFonts w:hint="eastAsia" w:hAnsi="宋体"/>
          <w:b/>
          <w:bCs/>
          <w:color w:val="auto"/>
          <w:szCs w:val="21"/>
          <w:highlight w:val="none"/>
          <w:shd w:val="clear" w:color="auto" w:fill="auto"/>
        </w:rPr>
        <w:t>分</w:t>
      </w:r>
      <w:r>
        <w:rPr>
          <w:rFonts w:hint="eastAsia" w:hAnsi="宋体"/>
          <w:color w:val="auto"/>
          <w:szCs w:val="21"/>
          <w:highlight w:val="none"/>
          <w:shd w:val="clear" w:color="auto" w:fill="auto"/>
        </w:rPr>
        <w:t>（北京时间）</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rPr>
        <w:t>2.响应文件开启地点：</w:t>
      </w:r>
      <w:r>
        <w:rPr>
          <w:rFonts w:hint="eastAsia" w:hAnsi="宋体"/>
          <w:b w:val="0"/>
          <w:bCs w:val="0"/>
          <w:color w:val="auto"/>
          <w:szCs w:val="21"/>
          <w:highlight w:val="none"/>
          <w:shd w:val="clear" w:color="auto" w:fill="auto"/>
        </w:rPr>
        <w:t>南通市行政中心综合楼</w:t>
      </w:r>
      <w:r>
        <w:rPr>
          <w:rFonts w:hint="eastAsia" w:hAnsi="宋体"/>
          <w:b w:val="0"/>
          <w:bCs w:val="0"/>
          <w:color w:val="auto"/>
          <w:szCs w:val="21"/>
          <w:highlight w:val="none"/>
          <w:shd w:val="clear" w:color="auto" w:fill="auto"/>
          <w:lang w:val="en-US" w:eastAsia="zh-CN"/>
        </w:rPr>
        <w:t>538会议室</w:t>
      </w:r>
      <w:r>
        <w:rPr>
          <w:rFonts w:hint="eastAsia" w:hAnsi="宋体"/>
          <w:b w:val="0"/>
          <w:bCs w:val="0"/>
          <w:color w:val="auto"/>
          <w:szCs w:val="21"/>
          <w:highlight w:val="none"/>
          <w:shd w:val="clear" w:color="auto" w:fill="auto"/>
        </w:rPr>
        <w:t>（南通市崇川区世纪大道6号）</w:t>
      </w:r>
      <w:r>
        <w:rPr>
          <w:rFonts w:hint="eastAsia" w:hAnsi="宋体"/>
          <w:color w:val="auto"/>
          <w:szCs w:val="21"/>
          <w:highlight w:val="none"/>
          <w:shd w:val="clear" w:color="auto" w:fill="auto"/>
        </w:rPr>
        <w:t>，如有变动另行通知。</w:t>
      </w:r>
    </w:p>
    <w:p>
      <w:pPr>
        <w:spacing w:line="480" w:lineRule="exact"/>
        <w:ind w:firstLine="420" w:firstLineChars="200"/>
        <w:rPr>
          <w:rFonts w:hAnsi="宋体"/>
          <w:color w:val="auto"/>
          <w:szCs w:val="21"/>
          <w:highlight w:val="none"/>
          <w:shd w:val="clear" w:color="auto" w:fill="auto"/>
        </w:rPr>
      </w:pPr>
      <w:r>
        <w:rPr>
          <w:rFonts w:hint="eastAsia" w:hAnsi="宋体"/>
          <w:b/>
          <w:bCs/>
          <w:color w:val="auto"/>
          <w:szCs w:val="21"/>
          <w:highlight w:val="none"/>
          <w:shd w:val="clear" w:color="auto" w:fill="auto"/>
        </w:rPr>
        <w:t>六、</w:t>
      </w:r>
      <w:r>
        <w:rPr>
          <w:rFonts w:hint="eastAsia" w:hAnsi="宋体"/>
          <w:b/>
          <w:bCs/>
          <w:color w:val="auto"/>
          <w:szCs w:val="21"/>
          <w:highlight w:val="none"/>
          <w:shd w:val="clear" w:color="auto" w:fill="auto"/>
          <w:lang w:eastAsia="zh-CN"/>
        </w:rPr>
        <w:t>公告</w:t>
      </w:r>
      <w:r>
        <w:rPr>
          <w:rFonts w:hint="eastAsia" w:hAnsi="宋体"/>
          <w:b/>
          <w:bCs/>
          <w:color w:val="auto"/>
          <w:szCs w:val="21"/>
          <w:highlight w:val="none"/>
          <w:shd w:val="clear" w:color="auto" w:fill="auto"/>
        </w:rPr>
        <w:t>期限：</w:t>
      </w:r>
      <w:r>
        <w:rPr>
          <w:rFonts w:hint="eastAsia" w:hAnsi="宋体"/>
          <w:color w:val="auto"/>
          <w:szCs w:val="21"/>
          <w:highlight w:val="none"/>
          <w:shd w:val="clear" w:color="auto" w:fill="auto"/>
        </w:rPr>
        <w:t>自本</w:t>
      </w:r>
      <w:r>
        <w:rPr>
          <w:rFonts w:hint="eastAsia" w:hAnsi="宋体"/>
          <w:color w:val="auto"/>
          <w:szCs w:val="21"/>
          <w:highlight w:val="none"/>
          <w:shd w:val="clear" w:color="auto" w:fill="auto"/>
          <w:lang w:eastAsia="zh-CN"/>
        </w:rPr>
        <w:t>公告</w:t>
      </w:r>
      <w:r>
        <w:rPr>
          <w:rFonts w:hint="eastAsia" w:hAnsi="宋体"/>
          <w:color w:val="auto"/>
          <w:szCs w:val="21"/>
          <w:highlight w:val="none"/>
          <w:shd w:val="clear" w:color="auto" w:fill="auto"/>
        </w:rPr>
        <w:t>发布之日起3个工作日。</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七、凡对本次采购提出询问，请按以下方式联系</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1.采购人信息</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名称：南通博物苑</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地址：江苏省南通市崇川区濠南路19号</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联系方式：0513-85062508</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2.主管部门</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名称：南通市文化广电和旅游局</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地址：南通市崇川区世纪大道6号</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联系方式：0513-85099576</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3.采购代理机构信息</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名称：江苏正扬招标代理有限公司</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地址：南通市崇川区青年中路153号4号楼213室</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联系方式：0513-85991998</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4.项目联系方式：</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 xml:space="preserve">联系人：李艳梅；     </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联系电话：0513-85991998。</w:t>
      </w:r>
    </w:p>
    <w:p>
      <w:pPr>
        <w:rPr>
          <w:rFonts w:hint="eastAsia" w:ascii="宋体" w:hAnsi="宋体"/>
          <w:b/>
          <w:color w:val="auto"/>
          <w:w w:val="80"/>
          <w:kern w:val="44"/>
          <w:sz w:val="44"/>
          <w:szCs w:val="44"/>
          <w:highlight w:val="none"/>
          <w:shd w:val="clear" w:color="auto" w:fill="auto"/>
        </w:rPr>
      </w:pPr>
      <w:r>
        <w:rPr>
          <w:rFonts w:hint="eastAsia" w:ascii="宋体" w:hAnsi="宋体"/>
          <w:b/>
          <w:color w:val="auto"/>
          <w:w w:val="80"/>
          <w:kern w:val="44"/>
          <w:sz w:val="44"/>
          <w:szCs w:val="44"/>
          <w:highlight w:val="none"/>
          <w:shd w:val="clear" w:color="auto" w:fill="auto"/>
        </w:rPr>
        <w:br w:type="page"/>
      </w:r>
    </w:p>
    <w:bookmarkEnd w:id="7"/>
    <w:p>
      <w:pPr>
        <w:spacing w:line="480" w:lineRule="exact"/>
        <w:jc w:val="center"/>
        <w:rPr>
          <w:rFonts w:ascii="宋体" w:hAnsi="宋体"/>
          <w:b/>
          <w:color w:val="auto"/>
          <w:w w:val="80"/>
          <w:kern w:val="44"/>
          <w:sz w:val="44"/>
          <w:szCs w:val="44"/>
          <w:highlight w:val="none"/>
          <w:shd w:val="clear" w:color="auto" w:fill="auto"/>
        </w:rPr>
      </w:pPr>
      <w:r>
        <w:rPr>
          <w:rFonts w:hint="eastAsia" w:ascii="宋体" w:hAnsi="宋体"/>
          <w:b/>
          <w:color w:val="auto"/>
          <w:w w:val="80"/>
          <w:kern w:val="44"/>
          <w:sz w:val="44"/>
          <w:szCs w:val="44"/>
          <w:highlight w:val="none"/>
          <w:shd w:val="clear" w:color="auto" w:fill="auto"/>
        </w:rPr>
        <w:t>第二章  供应商须知</w:t>
      </w:r>
    </w:p>
    <w:p>
      <w:pPr>
        <w:snapToGrid w:val="0"/>
        <w:spacing w:line="480" w:lineRule="exact"/>
        <w:outlineLvl w:val="1"/>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一、说明</w:t>
      </w:r>
    </w:p>
    <w:p>
      <w:pPr>
        <w:snapToGrid w:val="0"/>
        <w:spacing w:line="480" w:lineRule="exact"/>
        <w:ind w:firstLine="480" w:firstLineChars="200"/>
        <w:rPr>
          <w:rFonts w:hAnsi="宋体" w:cs="宋体"/>
          <w:bCs/>
          <w:color w:val="auto"/>
          <w:sz w:val="24"/>
          <w:szCs w:val="24"/>
          <w:highlight w:val="none"/>
          <w:shd w:val="clear" w:color="auto" w:fill="auto"/>
        </w:rPr>
      </w:pPr>
      <w:r>
        <w:rPr>
          <w:rFonts w:hint="eastAsia" w:hAnsi="宋体" w:cs="宋体"/>
          <w:bCs/>
          <w:color w:val="auto"/>
          <w:sz w:val="24"/>
          <w:szCs w:val="24"/>
          <w:highlight w:val="none"/>
          <w:shd w:val="clear" w:color="auto" w:fill="auto"/>
        </w:rPr>
        <w:t>1.本竞争性磋商文件仅适用于采购人组织的竞争性磋商采购活动。</w:t>
      </w:r>
    </w:p>
    <w:p>
      <w:pPr>
        <w:snapToGrid w:val="0"/>
        <w:spacing w:line="480" w:lineRule="exact"/>
        <w:ind w:firstLine="480" w:firstLineChars="200"/>
        <w:rPr>
          <w:rFonts w:hAnsi="宋体" w:cs="宋体"/>
          <w:bCs/>
          <w:color w:val="auto"/>
          <w:sz w:val="24"/>
          <w:szCs w:val="24"/>
          <w:highlight w:val="none"/>
          <w:shd w:val="clear" w:color="auto" w:fill="auto"/>
        </w:rPr>
      </w:pPr>
      <w:r>
        <w:rPr>
          <w:rFonts w:hint="eastAsia" w:hAnsi="宋体" w:cs="宋体"/>
          <w:bCs/>
          <w:color w:val="auto"/>
          <w:sz w:val="24"/>
          <w:szCs w:val="24"/>
          <w:highlight w:val="none"/>
          <w:shd w:val="clear" w:color="auto" w:fill="auto"/>
        </w:rPr>
        <w:t>2.竞争性磋商活动及因本次磋商产生的合同受中国法律制约和保护。</w:t>
      </w:r>
    </w:p>
    <w:p>
      <w:pPr>
        <w:snapToGrid w:val="0"/>
        <w:spacing w:line="480" w:lineRule="exact"/>
        <w:ind w:firstLine="480" w:firstLineChars="200"/>
        <w:rPr>
          <w:rFonts w:hAnsi="宋体" w:cs="宋体"/>
          <w:bCs/>
          <w:color w:val="auto"/>
          <w:sz w:val="24"/>
          <w:szCs w:val="24"/>
          <w:highlight w:val="none"/>
          <w:shd w:val="clear" w:color="auto" w:fill="auto"/>
        </w:rPr>
      </w:pPr>
      <w:r>
        <w:rPr>
          <w:rFonts w:hint="eastAsia" w:hAnsi="宋体" w:cs="宋体"/>
          <w:bCs/>
          <w:color w:val="auto"/>
          <w:sz w:val="24"/>
          <w:szCs w:val="24"/>
          <w:highlight w:val="none"/>
          <w:shd w:val="clear" w:color="auto" w:fill="auto"/>
        </w:rPr>
        <w:t>3.竞争性磋商文件的解释权属于采购人。</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供应商获取磋商文件后，应仔细检查磋商文件的所有内容。如内容中有页码短缺、资格要求以及任何设置有不合理的条件对供应商实行差别待遇或者歧视待遇的，应在磋商文件发布后的4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hAnsi="宋体" w:cs="宋体"/>
          <w:b/>
          <w:color w:val="auto"/>
          <w:sz w:val="24"/>
          <w:szCs w:val="24"/>
          <w:highlight w:val="none"/>
          <w:shd w:val="clear" w:color="auto" w:fill="auto"/>
        </w:rPr>
        <w:t>非书面形式的不作为日后质疑提出的依据。</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6.供应商在磋商开始前自行踏勘现场，供应商务必自行认真踏勘现场条件，进一步获取所需信息，一旦成交不得对现场条件提出额外要求，不得要求增加费用，采购人可视情组织答疑会。</w:t>
      </w:r>
    </w:p>
    <w:p>
      <w:pPr>
        <w:snapToGrid w:val="0"/>
        <w:spacing w:line="480" w:lineRule="exact"/>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二、磋商文件的澄清、修改、答疑</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1.代理机构有权对发出的磋商文件进行必要的澄清、修改或补充。</w:t>
      </w:r>
    </w:p>
    <w:p>
      <w:pPr>
        <w:snapToGrid w:val="0"/>
        <w:spacing w:line="480" w:lineRule="exact"/>
        <w:ind w:firstLine="480" w:firstLineChars="200"/>
        <w:jc w:val="lef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2.磋商文件的澄清、修改、补充等内容均以书面明确的形式发布，并以</w:t>
      </w:r>
      <w:r>
        <w:rPr>
          <w:rFonts w:hint="eastAsia" w:hAnsi="宋体" w:cs="宋体"/>
          <w:color w:val="auto"/>
          <w:sz w:val="24"/>
          <w:szCs w:val="24"/>
          <w:highlight w:val="none"/>
          <w:shd w:val="clear" w:color="auto" w:fill="auto"/>
          <w:lang w:eastAsia="zh-CN"/>
        </w:rPr>
        <w:t>“南通市文化广电和旅游局-政府采购栏”“南通博物苑-资讯-招标信息栏”</w:t>
      </w:r>
      <w:r>
        <w:rPr>
          <w:rFonts w:hint="eastAsia" w:hAnsi="宋体" w:cs="宋体"/>
          <w:color w:val="auto"/>
          <w:sz w:val="24"/>
          <w:szCs w:val="24"/>
          <w:highlight w:val="none"/>
          <w:shd w:val="clear" w:color="auto" w:fill="auto"/>
        </w:rPr>
        <w:t>发布的信息为准。</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3.代理机构对磋商文件的澄清、修改将构成磋商文件的一部分，对响应磋商的供应商具有约束力。</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4.澄清或者修改的内容可能影响到响应文件编制的，代理机构将在提交响应文件接收截止之日5日前，发布澄清或者修改</w:t>
      </w:r>
      <w:r>
        <w:rPr>
          <w:rFonts w:hint="eastAsia" w:hAnsi="宋体" w:cs="宋体"/>
          <w:color w:val="auto"/>
          <w:sz w:val="24"/>
          <w:szCs w:val="24"/>
          <w:highlight w:val="none"/>
          <w:shd w:val="clear" w:color="auto" w:fill="auto"/>
          <w:lang w:eastAsia="zh-CN"/>
        </w:rPr>
        <w:t>公告</w:t>
      </w:r>
      <w:r>
        <w:rPr>
          <w:rFonts w:hint="eastAsia" w:hAnsi="宋体" w:cs="宋体"/>
          <w:color w:val="auto"/>
          <w:sz w:val="24"/>
          <w:szCs w:val="24"/>
          <w:highlight w:val="none"/>
          <w:shd w:val="clear" w:color="auto" w:fill="auto"/>
        </w:rPr>
        <w:t>，不足5日的，当顺延提交响应文件接收截止时间。</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5.除非代理机构以书面的形式对磋商文件作出澄清、修改及补充，供应商对涉及磋商文件的任何推论、理解和结论所造成的结果，均由供应商自负。</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6.采购人视情组织答疑会。如有产生答疑且对磋商文件内容有修改，代理机构将按照本须知有关规定，以补充通知（</w:t>
      </w:r>
      <w:r>
        <w:rPr>
          <w:rFonts w:hint="eastAsia" w:hAnsi="宋体" w:cs="宋体"/>
          <w:color w:val="auto"/>
          <w:sz w:val="24"/>
          <w:szCs w:val="24"/>
          <w:highlight w:val="none"/>
          <w:shd w:val="clear" w:color="auto" w:fill="auto"/>
          <w:lang w:eastAsia="zh-CN"/>
        </w:rPr>
        <w:t>公告</w:t>
      </w:r>
      <w:r>
        <w:rPr>
          <w:rFonts w:hint="eastAsia" w:hAnsi="宋体" w:cs="宋体"/>
          <w:color w:val="auto"/>
          <w:sz w:val="24"/>
          <w:szCs w:val="24"/>
          <w:highlight w:val="none"/>
          <w:shd w:val="clear" w:color="auto" w:fill="auto"/>
        </w:rPr>
        <w:t>）的方式发出。</w:t>
      </w:r>
    </w:p>
    <w:p>
      <w:pPr>
        <w:snapToGrid w:val="0"/>
        <w:spacing w:line="480" w:lineRule="exact"/>
        <w:ind w:firstLine="480"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三、响应文件的编制及装订</w:t>
      </w:r>
    </w:p>
    <w:p>
      <w:pPr>
        <w:spacing w:line="480" w:lineRule="exact"/>
        <w:ind w:firstLine="484" w:firstLineChars="202"/>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供应商按磋商文件要求编写响应文件，并牢固装订成册。响应文件均需采用A4纸（图纸等除外），不要使用活页夹、拉杆夹、文件夹、塑料方便式书脊（插入式或穿孔式）装订。响应文件不得行间插字、涂改、增删，如修改错漏处，须经响应文件签署人签字并加盖公章。</w:t>
      </w:r>
    </w:p>
    <w:p>
      <w:pPr>
        <w:snapToGrid w:val="0"/>
        <w:spacing w:line="480" w:lineRule="exact"/>
        <w:ind w:firstLine="480" w:firstLineChars="200"/>
        <w:outlineLvl w:val="1"/>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四、响应文件的份数和签署</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1.响应文件由：</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1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①</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资格审查文件、</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2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②</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技术响应文件、③</w:t>
      </w:r>
      <w:r>
        <w:rPr>
          <w:rFonts w:hint="eastAsia" w:hAnsi="宋体" w:cs="宋体"/>
          <w:color w:val="auto"/>
          <w:sz w:val="24"/>
          <w:szCs w:val="24"/>
          <w:highlight w:val="none"/>
          <w:shd w:val="clear" w:color="auto" w:fill="auto"/>
          <w:lang w:eastAsia="zh-CN"/>
        </w:rPr>
        <w:t>报价响应文件</w:t>
      </w:r>
      <w:r>
        <w:rPr>
          <w:rFonts w:hint="eastAsia" w:ascii="宋体" w:hAnsi="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rPr>
        <w:fldChar w:fldCharType="begin"/>
      </w:r>
      <w:r>
        <w:rPr>
          <w:rFonts w:hint="eastAsia" w:ascii="宋体" w:hAnsi="宋体" w:cs="宋体"/>
          <w:color w:val="auto"/>
          <w:sz w:val="24"/>
          <w:szCs w:val="24"/>
          <w:highlight w:val="none"/>
          <w:shd w:val="clear" w:color="auto" w:fill="auto"/>
        </w:rPr>
        <w:instrText xml:space="preserve"> = 4 \* GB3 \* MERGEFORMAT </w:instrText>
      </w:r>
      <w:r>
        <w:rPr>
          <w:rFonts w:hint="eastAsia" w:ascii="宋体" w:hAnsi="宋体" w:cs="宋体"/>
          <w:color w:val="auto"/>
          <w:sz w:val="24"/>
          <w:szCs w:val="24"/>
          <w:highlight w:val="none"/>
          <w:shd w:val="clear" w:color="auto" w:fill="auto"/>
        </w:rPr>
        <w:fldChar w:fldCharType="separate"/>
      </w:r>
      <w:r>
        <w:rPr>
          <w:rFonts w:hint="eastAsia" w:ascii="宋体" w:hAnsi="宋体" w:cs="宋体"/>
          <w:color w:val="auto"/>
          <w:sz w:val="24"/>
          <w:szCs w:val="24"/>
          <w:highlight w:val="none"/>
          <w:shd w:val="clear" w:color="auto" w:fill="auto"/>
        </w:rPr>
        <w:t>④</w:t>
      </w:r>
      <w:r>
        <w:rPr>
          <w:rFonts w:hint="eastAsia" w:ascii="宋体" w:hAnsi="宋体" w:cs="宋体"/>
          <w:color w:val="auto"/>
          <w:sz w:val="24"/>
          <w:szCs w:val="24"/>
          <w:highlight w:val="none"/>
          <w:shd w:val="clear" w:color="auto" w:fill="auto"/>
        </w:rPr>
        <w:fldChar w:fldCharType="end"/>
      </w:r>
      <w:r>
        <w:rPr>
          <w:rFonts w:hint="eastAsia" w:ascii="宋体" w:hAnsi="宋体" w:cs="宋体"/>
          <w:color w:val="auto"/>
          <w:sz w:val="24"/>
          <w:szCs w:val="24"/>
          <w:highlight w:val="none"/>
          <w:shd w:val="clear" w:color="auto" w:fill="auto"/>
        </w:rPr>
        <w:t>响应文件电子版共4部分组成（以下由文件序号代称）</w:t>
      </w:r>
      <w:r>
        <w:rPr>
          <w:rFonts w:hint="eastAsia" w:hAnsi="宋体" w:cs="宋体"/>
          <w:color w:val="auto"/>
          <w:sz w:val="24"/>
          <w:szCs w:val="24"/>
          <w:highlight w:val="none"/>
          <w:shd w:val="clear" w:color="auto" w:fill="auto"/>
        </w:rPr>
        <w:t>。</w:t>
      </w:r>
    </w:p>
    <w:p>
      <w:pPr>
        <w:snapToGrid w:val="0"/>
        <w:spacing w:line="480" w:lineRule="exact"/>
        <w:ind w:firstLine="480" w:firstLineChars="200"/>
        <w:rPr>
          <w:rFonts w:hAnsi="宋体" w:cs="宋体"/>
          <w:b/>
          <w:color w:val="auto"/>
          <w:sz w:val="24"/>
          <w:szCs w:val="24"/>
          <w:highlight w:val="none"/>
          <w:u w:val="single"/>
          <w:shd w:val="clear" w:color="auto" w:fill="auto"/>
        </w:rPr>
      </w:pPr>
      <w:r>
        <w:rPr>
          <w:rFonts w:hint="eastAsia" w:hAnsi="宋体" w:cs="宋体"/>
          <w:color w:val="auto"/>
          <w:sz w:val="24"/>
          <w:szCs w:val="24"/>
          <w:highlight w:val="none"/>
          <w:shd w:val="clear" w:color="auto" w:fill="auto"/>
        </w:rPr>
        <w:t>2.响应文件均为一式叁份，其中“正本”壹份和“副本”贰份。</w:t>
      </w:r>
    </w:p>
    <w:p>
      <w:pPr>
        <w:snapToGrid w:val="0"/>
        <w:spacing w:line="480" w:lineRule="exact"/>
        <w:ind w:firstLine="470" w:firstLineChars="19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w:t>
      </w:r>
      <w:r>
        <w:rPr>
          <w:rFonts w:hint="eastAsia" w:ascii="宋体" w:hAnsi="宋体" w:cs="宋体"/>
          <w:color w:val="auto"/>
          <w:sz w:val="24"/>
          <w:szCs w:val="24"/>
          <w:highlight w:val="none"/>
          <w:shd w:val="clear" w:color="auto" w:fill="auto"/>
        </w:rPr>
        <w:t>.</w:t>
      </w:r>
      <w:r>
        <w:rPr>
          <w:rFonts w:hint="eastAsia" w:ascii="宋体" w:hAnsi="宋体" w:cs="宋体"/>
          <w:b/>
          <w:bCs/>
          <w:color w:val="auto"/>
          <w:sz w:val="24"/>
          <w:szCs w:val="24"/>
          <w:highlight w:val="none"/>
          <w:shd w:val="clear" w:color="auto" w:fill="auto"/>
        </w:rPr>
        <w:fldChar w:fldCharType="begin"/>
      </w:r>
      <w:r>
        <w:rPr>
          <w:rFonts w:hint="eastAsia" w:ascii="宋体" w:hAnsi="宋体" w:cs="宋体"/>
          <w:b/>
          <w:bCs/>
          <w:color w:val="auto"/>
          <w:sz w:val="24"/>
          <w:szCs w:val="24"/>
          <w:highlight w:val="none"/>
          <w:shd w:val="clear" w:color="auto" w:fill="auto"/>
        </w:rPr>
        <w:instrText xml:space="preserve"> = 4 \* GB3 \* MERGEFORMAT </w:instrText>
      </w:r>
      <w:r>
        <w:rPr>
          <w:rFonts w:hint="eastAsia" w:ascii="宋体" w:hAnsi="宋体" w:cs="宋体"/>
          <w:b/>
          <w:bCs/>
          <w:color w:val="auto"/>
          <w:sz w:val="24"/>
          <w:szCs w:val="24"/>
          <w:highlight w:val="none"/>
          <w:shd w:val="clear" w:color="auto" w:fill="auto"/>
        </w:rPr>
        <w:fldChar w:fldCharType="separate"/>
      </w:r>
      <w:r>
        <w:rPr>
          <w:rFonts w:hint="eastAsia" w:ascii="宋体" w:hAnsi="宋体" w:cs="宋体"/>
          <w:b/>
          <w:bCs/>
          <w:color w:val="auto"/>
          <w:sz w:val="24"/>
          <w:szCs w:val="24"/>
          <w:highlight w:val="none"/>
          <w:shd w:val="clear" w:color="auto" w:fill="auto"/>
        </w:rPr>
        <w:t>④</w:t>
      </w:r>
      <w:r>
        <w:rPr>
          <w:rFonts w:hint="eastAsia" w:ascii="宋体" w:hAnsi="宋体" w:cs="宋体"/>
          <w:b/>
          <w:bCs/>
          <w:color w:val="auto"/>
          <w:sz w:val="24"/>
          <w:szCs w:val="24"/>
          <w:highlight w:val="none"/>
          <w:shd w:val="clear" w:color="auto" w:fill="auto"/>
        </w:rPr>
        <w:fldChar w:fldCharType="end"/>
      </w:r>
      <w:r>
        <w:rPr>
          <w:rFonts w:hint="eastAsia" w:ascii="宋体" w:hAnsi="宋体" w:cs="宋体"/>
          <w:b/>
          <w:bCs/>
          <w:color w:val="auto"/>
          <w:sz w:val="24"/>
          <w:szCs w:val="24"/>
          <w:highlight w:val="none"/>
          <w:shd w:val="clear" w:color="auto" w:fill="auto"/>
        </w:rPr>
        <w:t>响应文件电子版需将</w:t>
      </w:r>
      <w:r>
        <w:rPr>
          <w:rFonts w:hint="eastAsia" w:ascii="宋体" w:hAnsi="宋体" w:cs="宋体"/>
          <w:b/>
          <w:bCs/>
          <w:color w:val="auto"/>
          <w:sz w:val="24"/>
          <w:szCs w:val="24"/>
          <w:highlight w:val="none"/>
          <w:shd w:val="clear" w:color="auto" w:fill="auto"/>
        </w:rPr>
        <w:fldChar w:fldCharType="begin"/>
      </w:r>
      <w:r>
        <w:rPr>
          <w:rFonts w:hint="eastAsia" w:ascii="宋体" w:hAnsi="宋体" w:cs="宋体"/>
          <w:b/>
          <w:bCs/>
          <w:color w:val="auto"/>
          <w:sz w:val="24"/>
          <w:szCs w:val="24"/>
          <w:highlight w:val="none"/>
          <w:shd w:val="clear" w:color="auto" w:fill="auto"/>
        </w:rPr>
        <w:instrText xml:space="preserve"> = 1 \* GB3 </w:instrText>
      </w:r>
      <w:r>
        <w:rPr>
          <w:rFonts w:hint="eastAsia" w:ascii="宋体" w:hAnsi="宋体" w:cs="宋体"/>
          <w:b/>
          <w:bCs/>
          <w:color w:val="auto"/>
          <w:sz w:val="24"/>
          <w:szCs w:val="24"/>
          <w:highlight w:val="none"/>
          <w:shd w:val="clear" w:color="auto" w:fill="auto"/>
        </w:rPr>
        <w:fldChar w:fldCharType="separate"/>
      </w:r>
      <w:r>
        <w:rPr>
          <w:rFonts w:hint="eastAsia" w:ascii="宋体" w:hAnsi="宋体" w:cs="宋体"/>
          <w:b/>
          <w:bCs/>
          <w:color w:val="auto"/>
          <w:sz w:val="24"/>
          <w:szCs w:val="24"/>
          <w:highlight w:val="none"/>
          <w:shd w:val="clear" w:color="auto" w:fill="auto"/>
        </w:rPr>
        <w:t>①</w:t>
      </w:r>
      <w:r>
        <w:rPr>
          <w:rFonts w:hint="eastAsia" w:ascii="宋体" w:hAnsi="宋体" w:cs="宋体"/>
          <w:b/>
          <w:bCs/>
          <w:color w:val="auto"/>
          <w:sz w:val="24"/>
          <w:szCs w:val="24"/>
          <w:highlight w:val="none"/>
          <w:shd w:val="clear" w:color="auto" w:fill="auto"/>
        </w:rPr>
        <w:fldChar w:fldCharType="end"/>
      </w:r>
      <w:r>
        <w:rPr>
          <w:rFonts w:hint="eastAsia" w:ascii="宋体" w:hAnsi="宋体" w:cs="宋体"/>
          <w:b/>
          <w:bCs/>
          <w:color w:val="auto"/>
          <w:sz w:val="24"/>
          <w:szCs w:val="24"/>
          <w:highlight w:val="none"/>
          <w:shd w:val="clear" w:color="auto" w:fill="auto"/>
        </w:rPr>
        <w:fldChar w:fldCharType="begin"/>
      </w:r>
      <w:r>
        <w:rPr>
          <w:rFonts w:hint="eastAsia" w:ascii="宋体" w:hAnsi="宋体" w:cs="宋体"/>
          <w:b/>
          <w:bCs/>
          <w:color w:val="auto"/>
          <w:sz w:val="24"/>
          <w:szCs w:val="24"/>
          <w:highlight w:val="none"/>
          <w:shd w:val="clear" w:color="auto" w:fill="auto"/>
        </w:rPr>
        <w:instrText xml:space="preserve"> = 2 \* GB3 </w:instrText>
      </w:r>
      <w:r>
        <w:rPr>
          <w:rFonts w:hint="eastAsia" w:ascii="宋体" w:hAnsi="宋体" w:cs="宋体"/>
          <w:b/>
          <w:bCs/>
          <w:color w:val="auto"/>
          <w:sz w:val="24"/>
          <w:szCs w:val="24"/>
          <w:highlight w:val="none"/>
          <w:shd w:val="clear" w:color="auto" w:fill="auto"/>
        </w:rPr>
        <w:fldChar w:fldCharType="separate"/>
      </w:r>
      <w:r>
        <w:rPr>
          <w:rFonts w:hint="eastAsia" w:ascii="宋体" w:hAnsi="宋体" w:cs="宋体"/>
          <w:b/>
          <w:bCs/>
          <w:color w:val="auto"/>
          <w:sz w:val="24"/>
          <w:szCs w:val="24"/>
          <w:highlight w:val="none"/>
          <w:shd w:val="clear" w:color="auto" w:fill="auto"/>
        </w:rPr>
        <w:t>②</w:t>
      </w:r>
      <w:r>
        <w:rPr>
          <w:rFonts w:hint="eastAsia" w:ascii="宋体" w:hAnsi="宋体" w:cs="宋体"/>
          <w:b/>
          <w:bCs/>
          <w:color w:val="auto"/>
          <w:sz w:val="24"/>
          <w:szCs w:val="24"/>
          <w:highlight w:val="none"/>
          <w:shd w:val="clear" w:color="auto" w:fill="auto"/>
        </w:rPr>
        <w:fldChar w:fldCharType="end"/>
      </w:r>
      <w:r>
        <w:rPr>
          <w:rFonts w:hint="eastAsia" w:ascii="宋体" w:hAnsi="宋体" w:cs="宋体"/>
          <w:b/>
          <w:bCs/>
          <w:color w:val="auto"/>
          <w:sz w:val="24"/>
          <w:szCs w:val="24"/>
          <w:highlight w:val="none"/>
          <w:shd w:val="clear" w:color="auto" w:fill="auto"/>
        </w:rPr>
        <w:t>③的正本盖章后扫描一份存于U盘中，单独密封递交。</w:t>
      </w:r>
    </w:p>
    <w:p>
      <w:pPr>
        <w:snapToGrid w:val="0"/>
        <w:spacing w:line="480" w:lineRule="exact"/>
        <w:ind w:firstLine="470" w:firstLineChars="19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4.在每份响应文件上要明确标注项目名称、对应的响应文件名称、供应商的全称、日期、“正本”“副本”字样。“正本”和“副本”若有差异，概以“正本”为准。</w:t>
      </w:r>
    </w:p>
    <w:p>
      <w:pPr>
        <w:snapToGrid w:val="0"/>
        <w:spacing w:line="480" w:lineRule="exact"/>
        <w:ind w:firstLine="470" w:firstLineChars="19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5.响应文件中的所有“正本”，其正文内容须按磋商文件要求由供应商法定代表人或被授权人签字（或盖章）并加盖单位公章。“副本”可复印，但须加盖单位公章。</w:t>
      </w:r>
    </w:p>
    <w:p>
      <w:pPr>
        <w:snapToGrid w:val="0"/>
        <w:spacing w:line="480" w:lineRule="exact"/>
        <w:ind w:firstLine="470" w:firstLineChars="196"/>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五、响应文件的密封及标记</w:t>
      </w:r>
    </w:p>
    <w:p>
      <w:pPr>
        <w:snapToGrid w:val="0"/>
        <w:spacing w:line="480" w:lineRule="exact"/>
        <w:ind w:firstLine="480" w:firstLineChars="200"/>
        <w:rPr>
          <w:rFonts w:hAnsi="宋体" w:cs="宋体"/>
          <w:color w:val="auto"/>
          <w:sz w:val="24"/>
          <w:szCs w:val="24"/>
          <w:highlight w:val="none"/>
          <w:u w:val="single"/>
          <w:shd w:val="clear" w:color="auto" w:fill="auto"/>
        </w:rPr>
      </w:pPr>
      <w:r>
        <w:rPr>
          <w:rFonts w:hint="eastAsia" w:hAnsi="宋体" w:cs="宋体"/>
          <w:color w:val="auto"/>
          <w:sz w:val="24"/>
          <w:szCs w:val="24"/>
          <w:highlight w:val="none"/>
          <w:shd w:val="clear" w:color="auto" w:fill="auto"/>
        </w:rPr>
        <w:t>1.供应商须将本项目响应文件：</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1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①</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2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②</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3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③</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4 \* GB3 \* MERGEFORMAT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④</w:t>
      </w:r>
      <w:r>
        <w:rPr>
          <w:rFonts w:hint="eastAsia" w:hAnsi="宋体" w:cs="宋体"/>
          <w:color w:val="auto"/>
          <w:sz w:val="24"/>
          <w:szCs w:val="24"/>
          <w:highlight w:val="none"/>
          <w:shd w:val="clear" w:color="auto" w:fill="auto"/>
        </w:rPr>
        <w:fldChar w:fldCharType="end"/>
      </w:r>
      <w:r>
        <w:rPr>
          <w:rFonts w:hint="eastAsia" w:hAnsi="宋体" w:cs="宋体"/>
          <w:b/>
          <w:color w:val="auto"/>
          <w:sz w:val="24"/>
          <w:szCs w:val="24"/>
          <w:highlight w:val="none"/>
          <w:shd w:val="clear" w:color="auto" w:fill="auto"/>
        </w:rPr>
        <w:t>单独密封</w:t>
      </w:r>
      <w:r>
        <w:rPr>
          <w:rFonts w:hint="eastAsia" w:hAnsi="宋体" w:cs="宋体"/>
          <w:color w:val="auto"/>
          <w:sz w:val="24"/>
          <w:szCs w:val="24"/>
          <w:highlight w:val="none"/>
          <w:shd w:val="clear" w:color="auto" w:fill="auto"/>
        </w:rPr>
        <w:t>。</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2.密封后，应在每一密封的响应文件上明确标注磋商项目名称、响应文件各自对应的名称、供应商的全称及日期。</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3.在边缝处加盖供应商公章或骑缝签字。</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b/>
          <w:color w:val="auto"/>
          <w:sz w:val="24"/>
          <w:szCs w:val="24"/>
          <w:highlight w:val="none"/>
          <w:shd w:val="clear" w:color="auto" w:fill="auto"/>
        </w:rPr>
        <w:t>【特别提醒】</w:t>
      </w:r>
      <w:r>
        <w:rPr>
          <w:rFonts w:hint="eastAsia" w:hAnsi="宋体" w:cs="宋体"/>
          <w:color w:val="auto"/>
          <w:sz w:val="24"/>
          <w:szCs w:val="24"/>
          <w:highlight w:val="none"/>
          <w:shd w:val="clear" w:color="auto" w:fill="auto"/>
        </w:rPr>
        <w:t>响应文件中的</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1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①</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和</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2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②</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的“正本”或“副本”中，均不得含有</w:t>
      </w:r>
      <w:r>
        <w:rPr>
          <w:rFonts w:hint="eastAsia" w:hAnsi="宋体" w:cs="宋体"/>
          <w:color w:val="auto"/>
          <w:sz w:val="24"/>
          <w:szCs w:val="24"/>
          <w:highlight w:val="none"/>
          <w:shd w:val="clear" w:color="auto" w:fill="auto"/>
          <w:lang w:eastAsia="zh-CN"/>
        </w:rPr>
        <w:t>报价响应文件</w:t>
      </w:r>
      <w:r>
        <w:rPr>
          <w:rFonts w:hint="eastAsia" w:hAnsi="宋体" w:cs="宋体"/>
          <w:color w:val="auto"/>
          <w:sz w:val="24"/>
          <w:szCs w:val="24"/>
          <w:highlight w:val="none"/>
          <w:shd w:val="clear" w:color="auto" w:fill="auto"/>
        </w:rPr>
        <w:t>中报价表（报价单）内的任何项目价格，否则作无效响应处理。</w:t>
      </w:r>
    </w:p>
    <w:p>
      <w:pPr>
        <w:snapToGrid w:val="0"/>
        <w:spacing w:line="480" w:lineRule="exact"/>
        <w:ind w:firstLine="494" w:firstLineChars="206"/>
        <w:outlineLvl w:val="1"/>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六、磋商报价</w:t>
      </w:r>
    </w:p>
    <w:p>
      <w:pPr>
        <w:snapToGrid w:val="0"/>
        <w:spacing w:line="480" w:lineRule="exact"/>
        <w:ind w:firstLine="494" w:firstLineChars="20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1.本项目不接受任何有选择的报价。</w:t>
      </w:r>
    </w:p>
    <w:p>
      <w:pPr>
        <w:snapToGrid w:val="0"/>
        <w:spacing w:line="480" w:lineRule="exact"/>
        <w:ind w:firstLine="494" w:firstLineChars="20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2.磋商报价均以人民币为报价的币种。</w:t>
      </w:r>
    </w:p>
    <w:p>
      <w:pPr>
        <w:snapToGrid w:val="0"/>
        <w:spacing w:line="520" w:lineRule="exact"/>
        <w:ind w:firstLine="494" w:firstLineChars="206"/>
        <w:rPr>
          <w:rFonts w:ascii="宋体"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3.磋商报价表必须加盖单位公章且必须经法定代表人或被授权人签字或盖章。报价表中的大写金额与小写金额、总价金额与按单价汇总金额，</w:t>
      </w:r>
      <w:r>
        <w:rPr>
          <w:rFonts w:hint="eastAsia" w:ascii="宋体" w:hAnsi="宋体" w:cs="宋体"/>
          <w:color w:val="auto"/>
          <w:sz w:val="24"/>
          <w:szCs w:val="24"/>
          <w:highlight w:val="none"/>
          <w:shd w:val="clear" w:color="auto" w:fill="auto"/>
        </w:rPr>
        <w:t>若有差异将按下列条款执行：</w:t>
      </w:r>
    </w:p>
    <w:p>
      <w:pPr>
        <w:snapToGrid w:val="0"/>
        <w:spacing w:line="520" w:lineRule="exact"/>
        <w:ind w:firstLine="494" w:firstLineChars="20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（1）磋商响应文件中开标一览表（报价表）内容与磋商响应文件中相应内容不一致的，以开标一览表（报价表）为准；</w:t>
      </w:r>
    </w:p>
    <w:p>
      <w:pPr>
        <w:snapToGrid w:val="0"/>
        <w:spacing w:line="520" w:lineRule="exact"/>
        <w:ind w:firstLine="494" w:firstLineChars="20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（2）大写金额和小写金额不一致的，以大写金额为准；</w:t>
      </w:r>
    </w:p>
    <w:p>
      <w:pPr>
        <w:snapToGrid w:val="0"/>
        <w:spacing w:line="520" w:lineRule="exact"/>
        <w:ind w:firstLine="494" w:firstLineChars="20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（3）单价金额小数点或者百分比有明显错位的，以开标一览表的总价为准，并修改单价；</w:t>
      </w:r>
    </w:p>
    <w:p>
      <w:pPr>
        <w:snapToGrid w:val="0"/>
        <w:spacing w:line="520" w:lineRule="exact"/>
        <w:ind w:firstLine="494" w:firstLineChars="20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（4）总价金额与按单价汇总金额不一致的，以单价金额计算结果为准。</w:t>
      </w:r>
    </w:p>
    <w:p>
      <w:pPr>
        <w:snapToGrid w:val="0"/>
        <w:spacing w:line="520" w:lineRule="exact"/>
        <w:ind w:firstLine="494" w:firstLineChars="206"/>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（5）同时出现两种以上不一致的，按照前款规定的顺序修正。修正后的报价供应商确认后产生约束力，供应商不确认的，其报价无效。</w:t>
      </w:r>
    </w:p>
    <w:p>
      <w:pPr>
        <w:snapToGrid w:val="0"/>
        <w:spacing w:line="520" w:lineRule="exact"/>
        <w:ind w:firstLine="494" w:firstLineChars="206"/>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4.供应商应按本竞争性磋商文件内</w:t>
      </w:r>
      <w:r>
        <w:rPr>
          <w:rFonts w:hint="eastAsia" w:ascii="宋体" w:hAnsi="宋体" w:cs="宋体"/>
          <w:color w:val="auto"/>
          <w:sz w:val="24"/>
          <w:szCs w:val="24"/>
          <w:highlight w:val="none"/>
          <w:shd w:val="clear" w:color="auto" w:fill="auto"/>
          <w:lang w:val="en-US" w:eastAsia="zh-CN"/>
        </w:rPr>
        <w:t>项目需求</w:t>
      </w:r>
      <w:r>
        <w:rPr>
          <w:rFonts w:hint="eastAsia" w:ascii="宋体" w:hAnsi="宋体" w:cs="宋体"/>
          <w:color w:val="auto"/>
          <w:sz w:val="24"/>
          <w:szCs w:val="24"/>
          <w:highlight w:val="none"/>
          <w:shd w:val="clear" w:color="auto" w:fill="auto"/>
        </w:rPr>
        <w:t>的全部采购内容计算单价和总价。</w:t>
      </w:r>
    </w:p>
    <w:p>
      <w:pPr>
        <w:snapToGrid w:val="0"/>
        <w:spacing w:line="520" w:lineRule="exact"/>
        <w:ind w:firstLine="494" w:firstLineChars="206"/>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w:t>
      </w:r>
      <w:r>
        <w:rPr>
          <w:rFonts w:hint="eastAsia" w:ascii="宋体" w:hAnsi="宋体" w:cs="宋体"/>
          <w:color w:val="auto"/>
          <w:sz w:val="24"/>
          <w:szCs w:val="24"/>
          <w:highlight w:val="none"/>
        </w:rPr>
        <w:t>本项目</w:t>
      </w:r>
      <w:r>
        <w:rPr>
          <w:rFonts w:hint="eastAsia" w:ascii="宋体" w:hAnsi="宋体" w:eastAsia="宋体" w:cs="宋体"/>
          <w:color w:val="auto"/>
          <w:sz w:val="24"/>
          <w:szCs w:val="24"/>
          <w:highlight w:val="none"/>
        </w:rPr>
        <w:t>报价（以人民币计价）应包含</w:t>
      </w:r>
      <w:r>
        <w:rPr>
          <w:rFonts w:hint="eastAsia" w:ascii="宋体" w:hAnsi="宋体" w:eastAsia="宋体" w:cs="宋体"/>
          <w:color w:val="auto"/>
          <w:sz w:val="24"/>
          <w:szCs w:val="24"/>
          <w:highlight w:val="none"/>
          <w:lang w:val="en-US" w:eastAsia="zh-CN"/>
        </w:rPr>
        <w:t>设计费、</w:t>
      </w:r>
      <w:r>
        <w:rPr>
          <w:rFonts w:hint="eastAsia" w:ascii="宋体" w:hAnsi="宋体" w:eastAsia="宋体" w:cs="宋体"/>
          <w:color w:val="auto"/>
          <w:sz w:val="24"/>
          <w:szCs w:val="24"/>
          <w:highlight w:val="none"/>
        </w:rPr>
        <w:t>人工费、主材及标准附件、备品备件、辅材、开模费、包装、运输、保险、装卸、搬运费、技术措施费、机械进出场费、保管费、成品保护费、专用工具、技术资料、损耗、检测费、</w:t>
      </w:r>
      <w:r>
        <w:rPr>
          <w:rFonts w:hint="eastAsia" w:ascii="宋体" w:hAnsi="宋体" w:eastAsia="宋体" w:cs="宋体"/>
          <w:color w:val="auto"/>
          <w:sz w:val="24"/>
          <w:szCs w:val="24"/>
          <w:highlight w:val="none"/>
          <w:lang w:val="en-US" w:eastAsia="zh-CN"/>
        </w:rPr>
        <w:t>撤展、</w:t>
      </w:r>
      <w:r>
        <w:rPr>
          <w:rFonts w:hint="eastAsia" w:ascii="宋体" w:hAnsi="宋体" w:eastAsia="宋体" w:cs="宋体"/>
          <w:color w:val="auto"/>
          <w:sz w:val="24"/>
          <w:szCs w:val="24"/>
          <w:highlight w:val="none"/>
        </w:rPr>
        <w:t>管理费、利润、国家税务部门规定的各项税金；原材料的涨价及政策性调整等风险费</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相关伴随服务以及质保、售后服务等一切费用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shd w:val="clear" w:color="auto" w:fill="auto"/>
          <w:lang w:val="en-US" w:eastAsia="zh-CN"/>
        </w:rPr>
        <w:t>供应商</w:t>
      </w:r>
      <w:r>
        <w:rPr>
          <w:rFonts w:hint="eastAsia" w:ascii="宋体" w:hAnsi="宋体" w:cs="宋体"/>
          <w:color w:val="auto"/>
          <w:sz w:val="24"/>
          <w:szCs w:val="24"/>
          <w:highlight w:val="none"/>
          <w:shd w:val="clear" w:color="auto" w:fill="auto"/>
        </w:rPr>
        <w:t>的报价应包括为完成本项目所发生的一切费用和税费，即响应磋商文件采购要求的所有各项应有费用</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采购人</w:t>
      </w:r>
      <w:r>
        <w:rPr>
          <w:rFonts w:hint="eastAsia" w:ascii="宋体" w:hAnsi="宋体" w:cs="宋体"/>
          <w:color w:val="auto"/>
          <w:sz w:val="24"/>
          <w:szCs w:val="24"/>
          <w:highlight w:val="none"/>
          <w:shd w:val="clear" w:color="auto" w:fill="auto"/>
        </w:rPr>
        <w:t>将不再支付报价以外的任何费用。</w:t>
      </w:r>
    </w:p>
    <w:p>
      <w:pPr>
        <w:snapToGrid w:val="0"/>
        <w:spacing w:line="520" w:lineRule="exact"/>
        <w:ind w:firstLine="494" w:firstLineChars="206"/>
        <w:rPr>
          <w:rFonts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6.供应商应详细阅</w:t>
      </w:r>
      <w:r>
        <w:rPr>
          <w:rFonts w:hint="eastAsia" w:hAnsi="宋体" w:cs="宋体"/>
          <w:color w:val="auto"/>
          <w:sz w:val="24"/>
          <w:szCs w:val="24"/>
          <w:highlight w:val="none"/>
          <w:shd w:val="clear" w:color="auto" w:fill="auto"/>
        </w:rPr>
        <w:t>读竞争性磋商文件的全部内容，根据</w:t>
      </w:r>
      <w:r>
        <w:rPr>
          <w:rFonts w:hint="eastAsia" w:ascii="宋体" w:hAnsi="宋体" w:cs="宋体"/>
          <w:color w:val="auto"/>
          <w:sz w:val="24"/>
          <w:szCs w:val="24"/>
          <w:highlight w:val="none"/>
          <w:shd w:val="clear" w:color="auto" w:fill="auto"/>
          <w:lang w:val="en-US" w:eastAsia="zh-CN"/>
        </w:rPr>
        <w:t>项目需求</w:t>
      </w:r>
      <w:r>
        <w:rPr>
          <w:rFonts w:hint="eastAsia" w:hAnsi="宋体" w:cs="宋体"/>
          <w:color w:val="auto"/>
          <w:sz w:val="24"/>
          <w:szCs w:val="24"/>
          <w:highlight w:val="none"/>
          <w:shd w:val="clear" w:color="auto" w:fill="auto"/>
        </w:rPr>
        <w:t>，准确制定相关工作方案等，必须对本采购项目全部进行报价，如有漏项，视同对本项目的优惠。不按竞争性磋商文件的要求提供响应文件，导致报价无效，作无效响应处理。</w:t>
      </w:r>
    </w:p>
    <w:p>
      <w:pPr>
        <w:spacing w:line="480" w:lineRule="exact"/>
        <w:ind w:firstLine="494" w:firstLineChars="20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7.竞争性磋商的最终报价为成交价。同时，供应商的最终成交价在合同实施期间不因市场变化因素而变动。</w:t>
      </w:r>
    </w:p>
    <w:p>
      <w:pPr>
        <w:snapToGrid w:val="0"/>
        <w:spacing w:line="480" w:lineRule="exact"/>
        <w:ind w:firstLine="494" w:firstLineChars="20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8.最低的磋商报价是成交的重要条件，但不是成交的唯一条件。</w:t>
      </w:r>
    </w:p>
    <w:p>
      <w:pPr>
        <w:snapToGrid w:val="0"/>
        <w:spacing w:line="500" w:lineRule="exact"/>
        <w:ind w:firstLine="494" w:firstLineChars="206"/>
        <w:rPr>
          <w:rFonts w:asci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9.本项目供应商独立承担用人风险。供应商自行建立风险管理调控机制，对意外伤害或工伤等风险充分预估，报价时自行考虑，一旦出现上述问题，采购人不承担任何连带赔偿责任。</w:t>
      </w:r>
    </w:p>
    <w:p>
      <w:pPr>
        <w:snapToGrid w:val="0"/>
        <w:spacing w:line="480" w:lineRule="exact"/>
        <w:ind w:firstLine="494" w:firstLineChars="206"/>
        <w:outlineLvl w:val="1"/>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七、联合体参与磋商</w:t>
      </w:r>
    </w:p>
    <w:p>
      <w:pPr>
        <w:snapToGrid w:val="0"/>
        <w:spacing w:line="480" w:lineRule="exact"/>
        <w:ind w:firstLine="484" w:firstLineChars="202"/>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不接受任何形式的联合体参与本项目的竞争性磋商。</w:t>
      </w:r>
    </w:p>
    <w:p>
      <w:pPr>
        <w:snapToGrid w:val="0"/>
        <w:spacing w:line="480" w:lineRule="exact"/>
        <w:ind w:firstLine="460" w:firstLineChars="192"/>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八、响应文件及磋商费用</w:t>
      </w:r>
    </w:p>
    <w:p>
      <w:pPr>
        <w:snapToGrid w:val="0"/>
        <w:spacing w:line="480" w:lineRule="exact"/>
        <w:ind w:firstLine="484" w:firstLineChars="202"/>
        <w:rPr>
          <w:rFonts w:hint="eastAsia"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lang w:val="en-US" w:eastAsia="zh-CN"/>
        </w:rPr>
        <w:t>1</w:t>
      </w:r>
      <w:r>
        <w:rPr>
          <w:rFonts w:hint="eastAsia" w:hAnsi="宋体" w:eastAsia="宋体" w:cs="宋体"/>
          <w:color w:val="auto"/>
          <w:sz w:val="24"/>
          <w:szCs w:val="24"/>
          <w:highlight w:val="none"/>
          <w:shd w:val="clear" w:color="auto" w:fill="auto"/>
        </w:rPr>
        <w:t>.本项目代理服务费由成交供应商支付。代理服务费按成交价的</w:t>
      </w:r>
      <w:r>
        <w:rPr>
          <w:rFonts w:hint="eastAsia" w:hAnsi="宋体" w:cs="宋体"/>
          <w:color w:val="auto"/>
          <w:sz w:val="24"/>
          <w:szCs w:val="24"/>
          <w:highlight w:val="none"/>
          <w:shd w:val="clear" w:color="auto" w:fill="auto"/>
          <w:lang w:val="en-US" w:eastAsia="zh-CN"/>
        </w:rPr>
        <w:t>1.2</w:t>
      </w:r>
      <w:r>
        <w:rPr>
          <w:rFonts w:hint="eastAsia" w:hAnsi="宋体" w:eastAsia="宋体" w:cs="宋体"/>
          <w:color w:val="auto"/>
          <w:sz w:val="24"/>
          <w:szCs w:val="24"/>
          <w:highlight w:val="none"/>
          <w:shd w:val="clear" w:color="auto" w:fill="auto"/>
        </w:rPr>
        <w:t>%计算，保底价</w:t>
      </w:r>
      <w:r>
        <w:rPr>
          <w:rFonts w:hint="eastAsia" w:hAnsi="宋体" w:eastAsia="宋体" w:cs="宋体"/>
          <w:color w:val="auto"/>
          <w:sz w:val="24"/>
          <w:szCs w:val="24"/>
          <w:highlight w:val="none"/>
          <w:shd w:val="clear" w:color="auto" w:fill="auto"/>
          <w:lang w:val="en-US" w:eastAsia="zh-CN"/>
        </w:rPr>
        <w:t>2</w:t>
      </w:r>
      <w:r>
        <w:rPr>
          <w:rFonts w:hint="eastAsia" w:hAnsi="宋体" w:eastAsia="宋体" w:cs="宋体"/>
          <w:color w:val="auto"/>
          <w:sz w:val="24"/>
          <w:szCs w:val="24"/>
          <w:highlight w:val="none"/>
          <w:shd w:val="clear" w:color="auto" w:fill="auto"/>
        </w:rPr>
        <w:t>000</w:t>
      </w:r>
      <w:r>
        <w:rPr>
          <w:rFonts w:hint="eastAsia" w:hAnsi="宋体" w:cs="宋体"/>
          <w:color w:val="auto"/>
          <w:sz w:val="24"/>
          <w:szCs w:val="24"/>
          <w:highlight w:val="none"/>
          <w:shd w:val="clear" w:color="auto" w:fill="auto"/>
        </w:rPr>
        <w:t>元。</w:t>
      </w:r>
    </w:p>
    <w:p>
      <w:pPr>
        <w:snapToGrid w:val="0"/>
        <w:spacing w:line="480" w:lineRule="exact"/>
        <w:ind w:firstLine="484" w:firstLineChars="202"/>
        <w:rPr>
          <w:rFonts w:hint="eastAsia"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lang w:val="en-US" w:eastAsia="zh-CN"/>
        </w:rPr>
        <w:t>2</w:t>
      </w:r>
      <w:r>
        <w:rPr>
          <w:rFonts w:hint="eastAsia" w:hAnsi="宋体" w:cs="宋体"/>
          <w:color w:val="auto"/>
          <w:sz w:val="24"/>
          <w:szCs w:val="24"/>
          <w:highlight w:val="none"/>
          <w:shd w:val="clear" w:color="auto" w:fill="auto"/>
        </w:rPr>
        <w:t>.磋商程序顺利进行后，除供应商的原件可退回外，其余所有的响应文件都将作为档案保存，不论成交与否，代理机构均不退回。</w:t>
      </w:r>
    </w:p>
    <w:p>
      <w:pPr>
        <w:snapToGrid w:val="0"/>
        <w:spacing w:line="480" w:lineRule="exact"/>
        <w:ind w:firstLine="460" w:firstLineChars="192"/>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lang w:val="en-US" w:eastAsia="zh-CN"/>
        </w:rPr>
        <w:t>3</w:t>
      </w:r>
      <w:r>
        <w:rPr>
          <w:rFonts w:hint="eastAsia" w:hAnsi="宋体" w:cs="宋体"/>
          <w:color w:val="auto"/>
          <w:sz w:val="24"/>
          <w:szCs w:val="24"/>
          <w:highlight w:val="none"/>
          <w:shd w:val="clear" w:color="auto" w:fill="auto"/>
        </w:rPr>
        <w:t>.无论磋商过程和结果如何，参加项目磋商的供应商自行承担与本次项目磋商有关的全部费用。</w:t>
      </w:r>
    </w:p>
    <w:p>
      <w:pPr>
        <w:snapToGrid w:val="0"/>
        <w:spacing w:line="360" w:lineRule="auto"/>
        <w:ind w:firstLine="206" w:firstLineChars="206"/>
        <w:outlineLvl w:val="1"/>
        <w:rPr>
          <w:rFonts w:hAnsi="宋体" w:cs="宋体"/>
          <w:b/>
          <w:bCs/>
          <w:color w:val="auto"/>
          <w:sz w:val="10"/>
          <w:szCs w:val="10"/>
          <w:highlight w:val="none"/>
          <w:shd w:val="clear" w:color="auto" w:fill="auto"/>
        </w:rPr>
      </w:pPr>
    </w:p>
    <w:p>
      <w:pPr>
        <w:snapToGrid w:val="0"/>
        <w:spacing w:line="480" w:lineRule="exact"/>
        <w:ind w:firstLine="494" w:firstLineChars="206"/>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九、未尽事宜</w:t>
      </w:r>
    </w:p>
    <w:p>
      <w:pPr>
        <w:snapToGrid w:val="0"/>
        <w:spacing w:line="480" w:lineRule="exact"/>
        <w:ind w:firstLine="494" w:firstLineChars="20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按有关法律法规的规定执行。</w:t>
      </w:r>
    </w:p>
    <w:p>
      <w:pPr>
        <w:rPr>
          <w:color w:val="auto"/>
          <w:highlight w:val="none"/>
          <w:shd w:val="clear" w:color="auto" w:fill="auto"/>
        </w:rPr>
      </w:pPr>
    </w:p>
    <w:p>
      <w:pPr>
        <w:pStyle w:val="3"/>
        <w:keepNext w:val="0"/>
        <w:keepLines w:val="0"/>
        <w:adjustRightInd w:val="0"/>
        <w:snapToGrid w:val="0"/>
        <w:spacing w:before="0" w:after="0" w:line="800" w:lineRule="exact"/>
        <w:jc w:val="center"/>
        <w:textAlignment w:val="baseline"/>
        <w:rPr>
          <w:rFonts w:ascii="宋体" w:hAnsi="宋体" w:eastAsia="宋体" w:cs="宋体"/>
          <w:color w:val="auto"/>
          <w:w w:val="80"/>
          <w:szCs w:val="44"/>
          <w:highlight w:val="none"/>
          <w:shd w:val="clear" w:color="auto" w:fill="auto"/>
        </w:rPr>
      </w:pPr>
      <w:bookmarkStart w:id="0" w:name="_Toc432763305"/>
    </w:p>
    <w:p>
      <w:pPr>
        <w:pStyle w:val="3"/>
        <w:keepNext w:val="0"/>
        <w:keepLines w:val="0"/>
        <w:adjustRightInd w:val="0"/>
        <w:snapToGrid w:val="0"/>
        <w:spacing w:before="0" w:after="0" w:line="800" w:lineRule="exact"/>
        <w:jc w:val="center"/>
        <w:textAlignment w:val="baseline"/>
        <w:rPr>
          <w:rFonts w:ascii="宋体" w:hAnsi="宋体" w:eastAsia="宋体" w:cs="宋体"/>
          <w:color w:val="auto"/>
          <w:w w:val="80"/>
          <w:szCs w:val="44"/>
          <w:highlight w:val="none"/>
          <w:shd w:val="clear" w:color="auto" w:fill="auto"/>
        </w:rPr>
        <w:sectPr>
          <w:footerReference r:id="rId3" w:type="default"/>
          <w:pgSz w:w="11906" w:h="16838"/>
          <w:pgMar w:top="1247" w:right="1418" w:bottom="1247" w:left="1418" w:header="851" w:footer="992" w:gutter="0"/>
          <w:cols w:space="720" w:num="1"/>
          <w:docGrid w:type="linesAndChars" w:linePitch="312" w:charSpace="0"/>
        </w:sectPr>
      </w:pPr>
    </w:p>
    <w:p>
      <w:pPr>
        <w:pStyle w:val="3"/>
        <w:keepNext w:val="0"/>
        <w:keepLines w:val="0"/>
        <w:numPr>
          <w:ilvl w:val="0"/>
          <w:numId w:val="2"/>
        </w:numPr>
        <w:adjustRightInd w:val="0"/>
        <w:snapToGrid w:val="0"/>
        <w:spacing w:before="0" w:after="0" w:line="800" w:lineRule="exact"/>
        <w:jc w:val="center"/>
        <w:textAlignment w:val="baseline"/>
        <w:rPr>
          <w:rFonts w:hint="eastAsia" w:ascii="宋体" w:hAnsi="宋体" w:eastAsia="宋体" w:cs="宋体"/>
          <w:color w:val="auto"/>
          <w:w w:val="80"/>
          <w:szCs w:val="44"/>
          <w:highlight w:val="none"/>
          <w:shd w:val="clear" w:color="auto" w:fill="auto"/>
        </w:rPr>
      </w:pPr>
      <w:r>
        <w:rPr>
          <w:rFonts w:hint="eastAsia" w:ascii="宋体" w:hAnsi="宋体" w:eastAsia="宋体" w:cs="宋体"/>
          <w:color w:val="auto"/>
          <w:w w:val="80"/>
          <w:szCs w:val="44"/>
          <w:highlight w:val="none"/>
          <w:shd w:val="clear" w:color="auto" w:fill="auto"/>
        </w:rPr>
        <w:t xml:space="preserve"> </w:t>
      </w:r>
      <w:bookmarkEnd w:id="0"/>
      <w:r>
        <w:rPr>
          <w:rFonts w:hint="eastAsia" w:ascii="宋体" w:hAnsi="宋体" w:eastAsia="宋体" w:cs="宋体"/>
          <w:color w:val="auto"/>
          <w:w w:val="80"/>
          <w:szCs w:val="44"/>
          <w:highlight w:val="none"/>
          <w:shd w:val="clear" w:color="auto" w:fill="auto"/>
          <w:lang w:val="en-US" w:eastAsia="zh-CN"/>
        </w:rPr>
        <w:t>项目需求</w:t>
      </w:r>
    </w:p>
    <w:p>
      <w:pPr>
        <w:pStyle w:val="9"/>
        <w:rPr>
          <w:color w:val="auto"/>
          <w:highlight w:val="none"/>
          <w:shd w:val="clear" w:color="auto" w:fill="auto"/>
        </w:rPr>
      </w:pP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ajorEastAsia" w:hAnsiTheme="majorEastAsia" w:eastAsiaTheme="majorEastAsia"/>
          <w:b/>
          <w:bCs/>
          <w:color w:val="auto"/>
          <w:sz w:val="24"/>
          <w:szCs w:val="24"/>
          <w:highlight w:val="none"/>
          <w:shd w:val="clear" w:color="auto" w:fill="auto"/>
          <w:lang w:val="en-US" w:eastAsia="zh-CN"/>
        </w:rPr>
      </w:pPr>
      <w:r>
        <w:rPr>
          <w:rFonts w:hint="eastAsia" w:asciiTheme="majorEastAsia" w:hAnsiTheme="majorEastAsia" w:eastAsiaTheme="majorEastAsia"/>
          <w:b/>
          <w:bCs/>
          <w:color w:val="auto"/>
          <w:sz w:val="24"/>
          <w:szCs w:val="24"/>
          <w:highlight w:val="none"/>
          <w:shd w:val="clear" w:color="auto" w:fill="auto"/>
          <w:lang w:val="en-US" w:eastAsia="zh-CN"/>
        </w:rPr>
        <w:t>一、项目概况：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olor w:val="auto"/>
          <w:sz w:val="21"/>
          <w:szCs w:val="21"/>
          <w:highlight w:val="none"/>
          <w:shd w:val="clear" w:color="auto" w:fill="auto"/>
          <w:lang w:val="en-US" w:eastAsia="zh-CN"/>
        </w:rPr>
      </w:pPr>
      <w:r>
        <w:rPr>
          <w:rFonts w:hint="eastAsia" w:ascii="宋体" w:hAnsi="宋体"/>
          <w:color w:val="auto"/>
          <w:sz w:val="24"/>
          <w:szCs w:val="24"/>
          <w:highlight w:val="none"/>
        </w:rPr>
        <w:t>本次“</w:t>
      </w:r>
      <w:r>
        <w:rPr>
          <w:rFonts w:hint="eastAsia" w:ascii="宋体" w:hAnsi="宋体"/>
          <w:color w:val="auto"/>
          <w:sz w:val="24"/>
          <w:szCs w:val="24"/>
          <w:highlight w:val="none"/>
          <w:lang w:eastAsia="zh-CN"/>
        </w:rPr>
        <w:t>乾隆的假期——清代宫廷节令礼俗展</w:t>
      </w:r>
      <w:r>
        <w:rPr>
          <w:rFonts w:hint="eastAsia" w:ascii="宋体" w:hAnsi="宋体"/>
          <w:color w:val="auto"/>
          <w:sz w:val="24"/>
          <w:szCs w:val="24"/>
          <w:highlight w:val="none"/>
        </w:rPr>
        <w:t>”主题展，</w:t>
      </w:r>
      <w:r>
        <w:rPr>
          <w:rFonts w:hint="eastAsia" w:ascii="宋体" w:hAnsi="宋体"/>
          <w:color w:val="auto"/>
          <w:sz w:val="24"/>
          <w:szCs w:val="24"/>
          <w:highlight w:val="none"/>
          <w:lang w:eastAsia="zh-CN"/>
        </w:rPr>
        <w:t>是南通博物苑为庆祝建苑</w:t>
      </w:r>
      <w:r>
        <w:rPr>
          <w:rFonts w:hint="eastAsia" w:ascii="宋体" w:hAnsi="宋体"/>
          <w:color w:val="auto"/>
          <w:sz w:val="24"/>
          <w:szCs w:val="24"/>
          <w:highlight w:val="none"/>
          <w:lang w:val="en-US" w:eastAsia="zh-CN"/>
        </w:rPr>
        <w:t>120周年，特别邀请中国文物交流中心共同策划的专题展览。</w:t>
      </w:r>
      <w:r>
        <w:rPr>
          <w:rFonts w:hint="eastAsia" w:ascii="宋体" w:hAnsi="宋体" w:eastAsia="宋体" w:cs="宋体"/>
          <w:color w:val="auto"/>
          <w:sz w:val="24"/>
          <w:szCs w:val="24"/>
          <w:highlight w:val="none"/>
          <w:lang w:val="en-US" w:eastAsia="zh-CN"/>
        </w:rPr>
        <w:t>展览主要分为节日、生日及休假三个板块，向观众讲述乾隆及清代官员是如何休假以及度过假期的。展示内容以历史史实为引，结合文物印证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展示形式以更贴近现代观众的角度叙述，通过聚焦乾隆皇帝本人的日常生活，介绍清代中期重要节令与相对应的礼俗与文化</w:t>
      </w:r>
      <w:r>
        <w:rPr>
          <w:rFonts w:hint="eastAsia" w:asciiTheme="majorEastAsia" w:hAnsiTheme="majorEastAsia" w:eastAsiaTheme="majorEastAsia"/>
          <w:color w:val="auto"/>
          <w:sz w:val="21"/>
          <w:szCs w:val="21"/>
          <w:highlight w:val="none"/>
          <w:shd w:val="clear" w:color="auto" w:fill="auto"/>
          <w:lang w:val="en-US" w:eastAsia="zh-CN"/>
        </w:rPr>
        <w:t>。</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imes New Roman" w:asciiTheme="majorEastAsia" w:hAnsiTheme="majorEastAsia" w:eastAsiaTheme="majorEastAsia"/>
          <w:b/>
          <w:bCs/>
          <w:color w:val="auto"/>
          <w:sz w:val="24"/>
          <w:szCs w:val="24"/>
          <w:highlight w:val="none"/>
          <w:shd w:val="clear" w:color="auto" w:fill="auto"/>
          <w:lang w:val="en-US" w:eastAsia="zh-CN"/>
        </w:rPr>
      </w:pPr>
      <w:r>
        <w:rPr>
          <w:rFonts w:hint="eastAsia" w:cs="Times New Roman" w:asciiTheme="majorEastAsia" w:hAnsiTheme="majorEastAsia" w:eastAsiaTheme="majorEastAsia"/>
          <w:b/>
          <w:bCs/>
          <w:color w:val="auto"/>
          <w:sz w:val="24"/>
          <w:szCs w:val="24"/>
          <w:highlight w:val="none"/>
          <w:shd w:val="clear" w:color="auto" w:fill="auto"/>
          <w:lang w:val="en-US" w:eastAsia="zh-CN"/>
        </w:rPr>
        <w:t>二、主要内容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kern w:val="0"/>
          <w:sz w:val="24"/>
          <w:szCs w:val="24"/>
          <w:highlight w:val="none"/>
          <w:lang w:val="en-US" w:eastAsia="zh-CN" w:bidi="ar"/>
        </w:rPr>
        <w:t>第一单元 共度佳节</w:t>
      </w:r>
      <w:r>
        <w:rPr>
          <w:rFonts w:hint="eastAsia" w:ascii="宋体" w:hAnsi="宋体" w:eastAsia="宋体" w:cs="宋体"/>
          <w:b w:val="0"/>
          <w:bCs w:val="0"/>
          <w:color w:val="auto"/>
          <w:kern w:val="0"/>
          <w:sz w:val="24"/>
          <w:szCs w:val="24"/>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在清朝宫廷，元旦（即现在的春节）、冬至、万寿并称为“三大节”，是最盛大的节日。皇帝率领后妃及宗室成员，依循古礼举行盛大的祭天、朝贺大典。除此之外清宫中也吸纳了许多民间习俗，如端午射粽、七夕乞巧、中秋团聚赏月等等。这些传统节日的庆祝活动，不仅丰富了清朝宫廷的文化生活，也展现了中华民族丰富多彩的文化底蕴和节日风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1.1 礼俗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乾隆皇帝每遇汉民族历代相承的传统节日，如元旦、上元、清明、七夕、中秋、重阳等，他都在许多方面要求承袭前朝典制，在皇宫中举行规模宏大，程序繁琐的庆祝活动。他大量接受汉族新年节俗,以达到祈福消灾、家庭团聚、休息娱乐等目的；作为一国之君,他又创设诸多新活动来满足其阶层需要,以争取君臣关系、中央与地方关系、民族关系、中外关系乃至人神关系的和谐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1.2 宴席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清代宫廷宴席的膳食种类繁多，包括各式荤素甜咸点心、冷膳、热膳等。每逢过节亦有众多复杂精致的膳食，如除夕皇帝家宴、守岁消夜果盒、子时开笔仪式、新年皇帝吃饺子等等，再到茶宴联句，都极有特色。在不同的宴饮场合中还有不同的礼仪规范和程序安排。</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第二单元 普天同庆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清代制度规定，皇帝诞辰称万寿节，皇太后诞辰称圣寿节，皇后诞辰称千秋节。万寿节与元旦、冬至并称宫中三大节，每逢皇帝诞日，王公大臣必行庆贺之礼，而逢旬诞辰则要大庆，尤其以逢周甲、古稀、耄耋之年，欢庆活动更为隆重热烈，表现在銮殿受贺、戏曲演唱、敬献寿礼、筵宴称觞等诸方面。京城之内，更是搭台建亭、树坊设棚、张灯结彩，到处装饰得金碧辉煌，流光异彩；笙箫鼓钹、戏曲歌舞、杂耍百戏，充盈于耳，布列于途。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2.1 皇帝的生日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对于儿时的乾隆来说，生日确实是一天难得的假期，因为清朝的上书房格外严苛，每年只放五天假，生日即为其一。晚年的乾隆皇帝过生日时通常会举行盛大的万寿节庆典，包括宫廷内部的朝贺仪式和民间的庆祝活动，特定年岁的庆典规模更是宏大，举国欢庆，还邀请全国各地耆老纷赴京城庆寿。銮殿园囿之内，张席设宴，皇子皇孙称觞献寿，帝王与耆老共举金卮玉爵，共享琼浆玉液。</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2.2 皇太后与皇后的生日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清代圣寿节以乾隆皇帝为其母崇庆皇太后的生日最为隆重，届时必行庆贺之礼，举行圣寿宴。崇庆皇太后六十寿辰时，乾隆皇帝举办了首次隆重的庆寿典礼，乾隆还曾亲进“九九礼”，是清宫最高规格寿礼。七十寿辰时，庆寿期间每天早晚膳皇帝率后妃等人侍宴，乾隆帝还身着彩衣捧觞上寿，起舞祝兴。 自康熙时起，每逢皇帝或皇太后生日均开恩科。例如张謇就是清光绪二十年慈禧六十大寿恩科中状元，授翰林院修撰。皇后的生日就相对较为简单，千秋宴设在皇后居住的宫殿。届时，皇后要先向皇太后行礼，再去皇帝面前行礼，才能在交泰殿接受宫中女眷行礼，再至内廷开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第三单元 闲暇之余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乾隆最长的假期与清代官员例行公休基本一致，即将元旦（即现在的春节）、冬至、元宵三个节假日联起来，以封印的方式放假，封印日期在上一年的十二月十九日至二十二日，开印日期在新一年的正月十九至二十二日，长达一个月。但是官员休假期间，乾隆皇帝并不会停止办公，只是比平时办公时间有所减少，但仍然勤于政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虽然乾隆皇帝真正意义的假期非常少，但比起普通人他仍然有着无限特权，工作之余仍然可以举全国之力的“游山玩水”。早年乾隆的南巡、秋弥更多都带着稳定封建帝王的政治功业与经济基础的目的，晚年乾隆则沉迷奢靡生活，出巡过于铺张浪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3.1 休闲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乾隆皇帝总体而言是一位相对勤政爱民的皇帝,平时公务繁忙，少有闲暇，或许他也曾同样期待着新年到来之际的封印，在此期间能够有所放松,调节工作与生活的平衡。在工作间隙，乾隆也会参加筵席、茶宴等，更多是在三希堂鉴赏书画，规划玉器、瓷器、珐琅器的制作于创新，亲自挥毫泼墨，创作诗词书画，以文会友，抒发胸中之志与情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3.2 出巡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乾隆皇帝真正意义的假期非常少，但是并不妨碍他在全国范围内“游山玩水”。乾隆皇帝也效法其祖父康熙皇帝，借游览美景的理由，视察河工、了解民情、笼络士人、加强统治。他还时常前往圆明园、热河行宫、木兰围场等地避暑居住、秋狝围猎、娱乐消遣，还借此机会演练军队、考察武备，并接见蒙古各部的王公贵族，以巩固和发展满蒙关系，加强对边疆地区的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本次展览设置在南通博物苑一楼临时展厅。</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asciiTheme="majorEastAsia" w:hAnsiTheme="majorEastAsia" w:eastAsiaTheme="majorEastAsia"/>
          <w:b/>
          <w:bCs/>
          <w:color w:val="auto"/>
          <w:sz w:val="24"/>
          <w:szCs w:val="24"/>
          <w:highlight w:val="none"/>
          <w:shd w:val="clear" w:color="auto" w:fill="auto"/>
          <w:lang w:val="en-US" w:eastAsia="zh-CN"/>
        </w:rPr>
      </w:pPr>
      <w:r>
        <w:rPr>
          <w:rFonts w:hint="eastAsia" w:cs="Times New Roman" w:asciiTheme="majorEastAsia" w:hAnsiTheme="majorEastAsia" w:eastAsiaTheme="majorEastAsia"/>
          <w:b/>
          <w:bCs/>
          <w:color w:val="auto"/>
          <w:sz w:val="24"/>
          <w:szCs w:val="24"/>
          <w:highlight w:val="none"/>
          <w:shd w:val="clear" w:color="auto" w:fill="auto"/>
          <w:lang w:val="en-US" w:eastAsia="zh-CN"/>
        </w:rPr>
        <w:t>三、项目需求：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本次采购为“乾隆的假期——清代宫廷节令礼俗展”展览服务，主要内容包括设计策划、展区搭建和展品布展、撤展等服务。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采购内容清单如下：</w:t>
      </w:r>
    </w:p>
    <w:tbl>
      <w:tblPr>
        <w:tblStyle w:val="19"/>
        <w:tblW w:w="9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965"/>
        <w:gridCol w:w="4516"/>
        <w:gridCol w:w="1182"/>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项目要求</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设计费</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方案设计、施工图设计、平面设计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现场零星拆除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海报</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材料：喷绘布，外框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工艺：高清打印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规格：约6235*3000mm</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条幅</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材料：宣绒布 挂轴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工艺：高清打印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规格：约1300*3400mm</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写真</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材料：写真PP纸背覆黑胶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工艺：高清打印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规格：约2300*600mm</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材料：木工板基底  基膜  车贴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工艺：高清写真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规格：工程量按面积计算</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3M不干胶</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材料：反光不干胶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工艺：雕刻，转移裱贴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规格：约1000*8</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墙布</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材料：12mm阻燃板基层  宣绒布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工艺：高清UV印刷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规格：2600*3000mm</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logo灯</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材料：镜片 灯具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工艺：成品采购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规格：7150*3000*1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屏风隔断</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材料：pvc雕刻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规格：800*3000mm</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灯笼定制</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材料：木制框架 仿羊皮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工艺：雕刻镂空花版 仿羊皮纸山水灯罩 中国结挂穗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规格：约55*55*35cm</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纸板人</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材料：PVC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工艺：UV喷绘切割</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标题展板</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材料：户外防水喷绘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工艺：激光雕刻 UV打印 悬挂安装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规格：工程量按面积计算</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悬挂配件</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材料：综合材质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工艺：成品采购</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说明牌</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材料：卡纸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工艺：高清打印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规格：约100*50mm</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柜内展板</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材料：宣绒布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工艺：UV喷绘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规格：工程量按面积计算</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投影展板</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材料：边框+雪弗板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工艺：边框喷色 正面投影，背面UV打印图案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规格：1500x1360(投影面）</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多媒体影片</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工艺：二维动画制作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规格：时长60秒</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地贴指示</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材料：地贴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工艺：写真裱贴</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积木</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材料：木工板包布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工艺：叠加展示积木制作及包布</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辅助展具</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材料：亚克力压条、亚克力托架、固定件、卷轴轴头、挂画配件、卡纸、书型垫层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规格：按照实际需求定制</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75龙骨隔墙双面石膏板乳胶漆</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1、75系列轻钢龙骨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2、双面封12mm阻燃板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3、双面封9.5mm纸面石膏板</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展陈灯光</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专业展陈灯光</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bl>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ajorEastAsia" w:hAnsiTheme="majorEastAsia" w:eastAsiaTheme="majorEastAsia"/>
          <w:color w:val="auto"/>
          <w:sz w:val="21"/>
          <w:szCs w:val="21"/>
          <w:highlight w:val="none"/>
          <w:shd w:val="clear" w:color="auto" w:fill="auto"/>
          <w:lang w:val="en-US" w:eastAsia="zh-CN"/>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服</w:t>
      </w:r>
      <w:r>
        <w:rPr>
          <w:rFonts w:ascii="宋体" w:hAnsi="宋体" w:cs="宋体"/>
          <w:color w:val="auto"/>
          <w:sz w:val="24"/>
          <w:szCs w:val="24"/>
          <w:highlight w:val="none"/>
        </w:rPr>
        <w:t>务</w:t>
      </w:r>
      <w:r>
        <w:rPr>
          <w:rFonts w:hint="eastAsia" w:ascii="宋体" w:hAnsi="宋体" w:cs="宋体"/>
          <w:color w:val="auto"/>
          <w:sz w:val="24"/>
          <w:szCs w:val="24"/>
          <w:highlight w:val="none"/>
        </w:rPr>
        <w:t>范围</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（1）设计策划：提供包含展陈平面图、展陈效果、展陈立面、施工图等方案。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（2）展项制作：含展陈基础制作、展墙美工设计制作、场景制作、多媒体</w:t>
      </w:r>
      <w:r>
        <w:rPr>
          <w:rFonts w:hint="eastAsia" w:ascii="宋体" w:hAnsi="宋体" w:cs="宋体"/>
          <w:color w:val="auto"/>
          <w:sz w:val="24"/>
          <w:szCs w:val="24"/>
          <w:highlight w:val="none"/>
          <w:lang w:eastAsia="zh-CN"/>
        </w:rPr>
        <w:t>展项</w:t>
      </w:r>
      <w:r>
        <w:rPr>
          <w:rFonts w:hint="eastAsia" w:ascii="宋体" w:hAnsi="宋体" w:cs="宋体"/>
          <w:color w:val="auto"/>
          <w:sz w:val="24"/>
          <w:szCs w:val="24"/>
          <w:highlight w:val="none"/>
        </w:rPr>
        <w:t>制作等内容。</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olor w:val="auto"/>
          <w:sz w:val="21"/>
          <w:szCs w:val="21"/>
          <w:highlight w:val="none"/>
          <w:shd w:val="clear" w:color="auto" w:fill="auto"/>
          <w:lang w:val="en-US" w:eastAsia="zh-CN"/>
        </w:rPr>
      </w:pPr>
      <w:r>
        <w:rPr>
          <w:rFonts w:hint="eastAsia" w:ascii="宋体" w:hAnsi="宋体" w:cs="宋体"/>
          <w:color w:val="auto"/>
          <w:sz w:val="24"/>
          <w:szCs w:val="24"/>
          <w:highlight w:val="none"/>
        </w:rPr>
        <w:t>（3）展品布展、撤展及配合展览实施的其他相关工作。</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服务要求</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2.1设计要求：</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（1）结合展板、实物展示，通过叙事方式传达主题精神、核心价值观。</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（2）观赏性得到加强，设计以烘托实物为原则。与文物相关的展示设计应全面考虑文物安全需求，工艺合理、可行性规范性强。</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（3）在展线和展陈内容方面，整体要求和谐、统一。</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（4）设计用材、安装要求充分强调布展的节能、环保理念，体现艺术氛围。</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（5）设计和安装要求充分考虑消防、水、电、受力结构、流线通畅等国家规范要求及其安全因素。</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（6）展览色调定位要符合展览主题、准确、恰当、把握好度。应避免因色彩过于单一、平淡而导致展示效果整体乏味，降低观众参观的兴趣；同时，也应当避免因色彩过于繁杂而让观众产生视觉疲劳。</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（7）展览应与原展厅展览协调，展览设计风格、色调等符合原展览定位。</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2.2安全要求：</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（1）供应商须办理开工手续，签订责任书后才能进场安装。</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（2）供应商应加强组织管理，建立健全工作领导小组和工作计划，做到职责明确、人员固定、责任到位。</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供应商在项目范围内应做到文明施工，具体内容包括：现场材料堆放、安装机具停放有序、整齐；项目现场做到工完场清，建筑垃圾集中堆放并及时清运（每天清运当日产生的建筑垃圾）；危险区域有醒目的安全警示牌，夜间作业要设警示灯；在项目范围内，出现任何安全事故，均由供应商负责处理，同时不免除供应商造成不良后果所承担的法律责任及其他相关责任。</w:t>
      </w:r>
    </w:p>
    <w:p>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2</w:t>
      </w:r>
      <w:r>
        <w:rPr>
          <w:rFonts w:ascii="宋体" w:hAnsi="宋体" w:cs="宋体"/>
          <w:bCs/>
          <w:color w:val="auto"/>
          <w:sz w:val="24"/>
          <w:szCs w:val="24"/>
          <w:highlight w:val="none"/>
        </w:rPr>
        <w:t>.3</w:t>
      </w:r>
      <w:r>
        <w:rPr>
          <w:rFonts w:hint="eastAsia" w:ascii="宋体" w:hAnsi="宋体" w:cs="宋体"/>
          <w:color w:val="auto"/>
          <w:sz w:val="24"/>
          <w:szCs w:val="24"/>
          <w:highlight w:val="none"/>
        </w:rPr>
        <w:t>制作要求：</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2331"/>
        <w:gridCol w:w="5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24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内容</w:t>
            </w:r>
          </w:p>
        </w:tc>
        <w:tc>
          <w:tcPr>
            <w:tcW w:w="318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24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美工展陈制作</w:t>
            </w:r>
          </w:p>
        </w:tc>
        <w:tc>
          <w:tcPr>
            <w:tcW w:w="318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专业平面设计、各类展板画面采用高精度写真等特殊美工工艺。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24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展陈基础装饰制作</w:t>
            </w:r>
          </w:p>
        </w:tc>
        <w:tc>
          <w:tcPr>
            <w:tcW w:w="318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展陈基础装饰为展览艺术效果提供基础保障，空间划分合理，材料经济、环保。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24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艺术品及场景制作</w:t>
            </w:r>
          </w:p>
        </w:tc>
        <w:tc>
          <w:tcPr>
            <w:tcW w:w="318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体现展览主题，艺术性强、审美性高。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4</w:t>
            </w:r>
          </w:p>
        </w:tc>
        <w:tc>
          <w:tcPr>
            <w:tcW w:w="124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展品展示制作</w:t>
            </w:r>
          </w:p>
        </w:tc>
        <w:tc>
          <w:tcPr>
            <w:tcW w:w="318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展品积木、托架等设计制作合理、安全、美观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5</w:t>
            </w:r>
          </w:p>
        </w:tc>
        <w:tc>
          <w:tcPr>
            <w:tcW w:w="124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多媒体制作</w:t>
            </w:r>
          </w:p>
        </w:tc>
        <w:tc>
          <w:tcPr>
            <w:tcW w:w="318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与空间及展示内容融合较好，信息传达性强，体现整体审美风格。</w:t>
            </w:r>
          </w:p>
        </w:tc>
      </w:tr>
    </w:tbl>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asciiTheme="majorEastAsia" w:hAnsiTheme="majorEastAsia" w:eastAsiaTheme="majorEastAsia"/>
          <w:b/>
          <w:bCs/>
          <w:color w:val="auto"/>
          <w:sz w:val="24"/>
          <w:szCs w:val="24"/>
          <w:highlight w:val="none"/>
          <w:shd w:val="clear" w:color="auto" w:fill="auto"/>
          <w:lang w:val="en-US" w:eastAsia="zh-CN"/>
        </w:rPr>
      </w:pPr>
      <w:r>
        <w:rPr>
          <w:rFonts w:hint="eastAsia" w:cs="Times New Roman" w:asciiTheme="majorEastAsia" w:hAnsiTheme="majorEastAsia" w:eastAsiaTheme="majorEastAsia"/>
          <w:b/>
          <w:bCs/>
          <w:color w:val="auto"/>
          <w:sz w:val="24"/>
          <w:szCs w:val="24"/>
          <w:highlight w:val="none"/>
          <w:shd w:val="clear" w:color="auto" w:fill="auto"/>
          <w:lang w:val="en-US" w:eastAsia="zh-CN"/>
        </w:rPr>
        <w:t>四、服务期限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asciiTheme="majorEastAsia" w:hAnsiTheme="majorEastAsia" w:eastAsiaTheme="majorEastAsia"/>
          <w:color w:val="auto"/>
          <w:sz w:val="24"/>
          <w:szCs w:val="24"/>
          <w:highlight w:val="none"/>
          <w:shd w:val="clear" w:color="auto" w:fill="auto"/>
        </w:rPr>
      </w:pPr>
      <w:r>
        <w:rPr>
          <w:rFonts w:hint="eastAsia" w:ascii="宋体" w:hAnsi="宋体" w:cs="宋体"/>
          <w:color w:val="auto"/>
          <w:sz w:val="24"/>
          <w:szCs w:val="24"/>
          <w:highlight w:val="none"/>
        </w:rPr>
        <w:t>自合同签订之日起</w:t>
      </w:r>
      <w:r>
        <w:rPr>
          <w:rFonts w:hint="eastAsia" w:ascii="宋体" w:hAnsi="宋体" w:cs="宋体"/>
          <w:color w:val="auto"/>
          <w:sz w:val="24"/>
          <w:szCs w:val="24"/>
          <w:highlight w:val="none"/>
          <w:lang w:val="en-US" w:eastAsia="zh-CN"/>
        </w:rPr>
        <w:t>至活动结束撤展完成</w:t>
      </w:r>
      <w:r>
        <w:rPr>
          <w:rFonts w:hint="eastAsia" w:cs="Times New Roman" w:asciiTheme="majorEastAsia" w:hAnsiTheme="majorEastAsia" w:eastAsiaTheme="majorEastAsia"/>
          <w:color w:val="auto"/>
          <w:sz w:val="24"/>
          <w:szCs w:val="24"/>
          <w:highlight w:val="none"/>
          <w:shd w:val="clear" w:color="auto" w:fill="auto"/>
        </w:rPr>
        <w:t>。</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imes New Roman" w:asciiTheme="majorEastAsia" w:hAnsiTheme="majorEastAsia" w:eastAsiaTheme="majorEastAsia"/>
          <w:b/>
          <w:bCs/>
          <w:color w:val="auto"/>
          <w:sz w:val="24"/>
          <w:szCs w:val="24"/>
          <w:highlight w:val="none"/>
          <w:shd w:val="clear" w:color="auto" w:fill="auto"/>
          <w:lang w:val="en-US" w:eastAsia="zh-CN"/>
        </w:rPr>
      </w:pPr>
      <w:r>
        <w:rPr>
          <w:rFonts w:hint="eastAsia" w:cs="Times New Roman" w:asciiTheme="majorEastAsia" w:hAnsiTheme="majorEastAsia" w:eastAsiaTheme="majorEastAsia"/>
          <w:b/>
          <w:bCs/>
          <w:color w:val="auto"/>
          <w:sz w:val="24"/>
          <w:szCs w:val="24"/>
          <w:highlight w:val="none"/>
          <w:shd w:val="clear" w:color="auto" w:fill="auto"/>
          <w:lang w:val="en-US" w:eastAsia="zh-CN"/>
        </w:rPr>
        <w:t>五、付款方式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合同签订后15日内支付合同总额的</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，竣工验收合格后支付合同</w:t>
      </w:r>
      <w:r>
        <w:rPr>
          <w:rFonts w:hint="eastAsia" w:ascii="宋体" w:hAnsi="宋体" w:eastAsia="宋体" w:cs="宋体"/>
          <w:color w:val="auto"/>
          <w:sz w:val="24"/>
          <w:szCs w:val="24"/>
          <w:highlight w:val="none"/>
          <w:lang w:val="en-US" w:eastAsia="zh-CN"/>
        </w:rPr>
        <w:t>总额</w:t>
      </w:r>
      <w:r>
        <w:rPr>
          <w:rFonts w:hint="eastAsia" w:ascii="宋体" w:hAnsi="宋体" w:cs="宋体"/>
          <w:color w:val="auto"/>
          <w:sz w:val="24"/>
          <w:szCs w:val="24"/>
          <w:highlight w:val="none"/>
          <w:lang w:val="en-US" w:eastAsia="zh-CN"/>
        </w:rPr>
        <w:t>的50%，</w:t>
      </w:r>
      <w:r>
        <w:rPr>
          <w:rFonts w:hint="eastAsia" w:ascii="宋体" w:hAnsi="宋体" w:eastAsia="宋体" w:cs="宋体"/>
          <w:color w:val="auto"/>
          <w:sz w:val="24"/>
          <w:szCs w:val="24"/>
          <w:highlight w:val="none"/>
          <w:lang w:val="en-US" w:eastAsia="zh-CN"/>
        </w:rPr>
        <w:t>活动结束，撤展完成后支付</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lang w:val="en-US" w:eastAsia="zh-CN"/>
        </w:rPr>
        <w:t>剩余</w:t>
      </w:r>
      <w:r>
        <w:rPr>
          <w:rFonts w:hint="eastAsia" w:ascii="宋体" w:hAnsi="宋体" w:cs="宋体"/>
          <w:color w:val="auto"/>
          <w:sz w:val="24"/>
          <w:szCs w:val="24"/>
          <w:highlight w:val="none"/>
          <w:lang w:val="en-US" w:eastAsia="zh-CN"/>
        </w:rPr>
        <w:t>的20%</w:t>
      </w:r>
      <w:r>
        <w:rPr>
          <w:rFonts w:hint="eastAsia" w:ascii="宋体" w:hAnsi="宋体" w:eastAsia="宋体" w:cs="宋体"/>
          <w:color w:val="auto"/>
          <w:sz w:val="24"/>
          <w:szCs w:val="24"/>
          <w:highlight w:val="none"/>
          <w:lang w:val="en-US" w:eastAsia="zh-CN"/>
        </w:rPr>
        <w:t>。</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Times New Roman" w:asciiTheme="majorEastAsia" w:hAnsiTheme="majorEastAsia" w:eastAsiaTheme="majorEastAsia"/>
          <w:b/>
          <w:bCs/>
          <w:color w:val="auto"/>
          <w:sz w:val="24"/>
          <w:szCs w:val="24"/>
          <w:highlight w:val="none"/>
          <w:shd w:val="clear" w:color="auto" w:fill="auto"/>
          <w:lang w:val="en-US" w:eastAsia="zh-CN"/>
        </w:rPr>
      </w:pPr>
      <w:r>
        <w:rPr>
          <w:rFonts w:hint="eastAsia" w:cs="Times New Roman" w:asciiTheme="majorEastAsia" w:hAnsiTheme="majorEastAsia" w:eastAsiaTheme="majorEastAsia"/>
          <w:b/>
          <w:bCs/>
          <w:color w:val="auto"/>
          <w:sz w:val="24"/>
          <w:szCs w:val="24"/>
          <w:highlight w:val="none"/>
          <w:shd w:val="clear" w:color="auto" w:fill="auto"/>
          <w:lang w:val="en-US" w:eastAsia="zh-CN"/>
        </w:rPr>
        <w:t>六、相关要求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1.本项目的施工过程必须严格按照施工质量应符合现行国家技术、施工及验收规范规程，对施工工艺的特殊要求，按图纸及国家有关规定执行。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2.质量要求：按相关工程施工质量验收规范合格标准。制作安装等服务应响应迅速，施工及时并符合采购人及展馆要求。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3.安全要求：要求在开工前和实施期间做好安全文明标化管理，要求在</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eastAsia="zh-CN"/>
        </w:rPr>
        <w:t xml:space="preserve">响应文件中阐述有关实施方案和管理措施，并作出相应承诺，确保场内外道路清洁畅通，确保来往车辆、人员、施工安全。符合安全要求，涉及到电气布线、安装等应符合消防安全要求，确保安全可靠，所有结构应与展台自身主体结构连接，严禁在展馆天花板、梁、柱、围栏或各种专用管线上吊挂、捆绑。在项目实施过程（包括搭建及活动期间等）期间以及一切由于供应商实施的工作问题导致的安全责任均由供应商承担，采购人概不负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4.技术规格：施工符合展馆规范要求，制作工艺细致。整体外观与设计效果保持一致，现场安装施工严谨精细，标识、画面等内容无错误。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5.施工要求：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（1）搭建施工：依据</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eastAsia="zh-CN"/>
        </w:rPr>
        <w:t>文件及设计方案，负责</w:t>
      </w:r>
      <w:r>
        <w:rPr>
          <w:rFonts w:hint="eastAsia" w:ascii="宋体" w:hAnsi="宋体" w:eastAsia="宋体" w:cs="宋体"/>
          <w:color w:val="auto"/>
          <w:sz w:val="24"/>
          <w:szCs w:val="24"/>
          <w:highlight w:val="none"/>
          <w:lang w:val="en-US" w:eastAsia="zh-CN"/>
        </w:rPr>
        <w:t>场馆的</w:t>
      </w:r>
      <w:r>
        <w:rPr>
          <w:rFonts w:hint="eastAsia" w:ascii="宋体" w:hAnsi="宋体" w:eastAsia="宋体" w:cs="宋体"/>
          <w:color w:val="auto"/>
          <w:sz w:val="24"/>
          <w:szCs w:val="24"/>
          <w:highlight w:val="none"/>
          <w:lang w:eastAsia="zh-CN"/>
        </w:rPr>
        <w:t xml:space="preserve">安装、布置、活动期间本展区活动的技术、人员及设备保障。施工时能较好理解设计意图，用材适当并与环境相协调，性价比高。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（2）工程组织周密。要科学制定合理的施工组织实施方案，统筹协调布展进度，使各分项组织实施的全过程及各个环节始终处于受控状态，施工工艺满足国家、省、市现行标准、规范的相关文件要求。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（3）坚持安全施工。要强化安全生产意识，建立规范化、标准化、制度化的管理体系，确保施工现场的结构安全、消防安全、电气安全，以及人身安全等，以达到优质的展示效果。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6.场地布置验收标准：满足采购人要求，包括规划、设计、施工与采购人需求一致，准确无误。制作工艺细致，符合消防标准。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 xml:space="preserve">.服务标准、效率：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（1）服务标准：满足采购人要求，符合我国相关技术规范和质量标准。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（2）服务效率：根据采购人要求及时修改方案、及时施工、及时响应。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七</w:t>
      </w:r>
      <w:r>
        <w:rPr>
          <w:rFonts w:hint="eastAsia" w:ascii="宋体" w:hAnsi="宋体" w:eastAsia="宋体" w:cs="宋体"/>
          <w:b/>
          <w:bCs/>
          <w:color w:val="auto"/>
          <w:kern w:val="0"/>
          <w:sz w:val="24"/>
          <w:szCs w:val="24"/>
          <w:highlight w:val="none"/>
          <w:lang w:val="en-US" w:eastAsia="zh-CN" w:bidi="ar"/>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1.成交供应商执行</w:t>
      </w:r>
      <w:r>
        <w:rPr>
          <w:rFonts w:hint="eastAsia" w:ascii="宋体" w:hAnsi="宋体" w:eastAsia="宋体" w:cs="宋体"/>
          <w:color w:val="auto"/>
          <w:sz w:val="24"/>
          <w:szCs w:val="24"/>
          <w:highlight w:val="none"/>
          <w:lang w:val="en-US" w:eastAsia="zh-CN"/>
        </w:rPr>
        <w:t>布置</w:t>
      </w:r>
      <w:r>
        <w:rPr>
          <w:rFonts w:hint="eastAsia" w:ascii="宋体" w:hAnsi="宋体" w:eastAsia="宋体" w:cs="宋体"/>
          <w:color w:val="auto"/>
          <w:sz w:val="24"/>
          <w:szCs w:val="24"/>
          <w:highlight w:val="none"/>
          <w:lang w:eastAsia="zh-CN"/>
        </w:rPr>
        <w:t>不符合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eastAsia="zh-CN"/>
        </w:rPr>
        <w:t>文件要求及</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eastAsia="zh-CN"/>
        </w:rPr>
        <w:t>响应文件承诺或采购人批准的方案的，如出现漏项或错项，每发生一次，应向采购人支付</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lang w:eastAsia="zh-CN"/>
        </w:rPr>
        <w:t>费用总额0.5%或成交供应商漏项错项对应</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lang w:eastAsia="zh-CN"/>
        </w:rPr>
        <w:t>费用金额3倍的违约金（以高者为准）；发生如下情况之一，视为成交供应商重大违约，采购人有权单方解除本合同：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(1)工作进度缓慢将会导致活动无法按期举办的：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(2)发生安全事故且成交供应商负有责任的：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lang w:eastAsia="zh-CN"/>
        </w:rPr>
        <w:t>质量、效果明显不能达到采购人要求的：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)成交供应商以采购人或本活动相关单位名义对外从事与本合同履行无关的任何行为的；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)未按照采购人批准的策划及执行方案实施具体工作的。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2.成交供应商违反相关条款，给采购人造成损失或负面影响，成交供应商应赔偿采购人的损失；如采购人认为成交供应商违约情节严重，采购人有权解除本合同。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3.如成交供应商在</w:t>
      </w:r>
      <w:r>
        <w:rPr>
          <w:rFonts w:hint="eastAsia" w:ascii="宋体" w:hAnsi="宋体" w:eastAsia="宋体" w:cs="宋体"/>
          <w:color w:val="auto"/>
          <w:sz w:val="24"/>
          <w:szCs w:val="24"/>
          <w:highlight w:val="none"/>
          <w:lang w:val="en-US" w:eastAsia="zh-CN"/>
        </w:rPr>
        <w:t>项目实施过程</w:t>
      </w:r>
      <w:r>
        <w:rPr>
          <w:rFonts w:hint="eastAsia" w:ascii="宋体" w:hAnsi="宋体" w:eastAsia="宋体" w:cs="宋体"/>
          <w:color w:val="auto"/>
          <w:sz w:val="24"/>
          <w:szCs w:val="24"/>
          <w:highlight w:val="none"/>
          <w:lang w:eastAsia="zh-CN"/>
        </w:rPr>
        <w:t>中无故泄露采购人提供的资料及与本合同有关的任何内容，或丑化采购人或本活动相关单位形象的，采购人有权解除本合同；此外，成交供应商应按采购人要求予以纠正，如造成采购人损失的，则成交供应商应</w:t>
      </w:r>
      <w:r>
        <w:rPr>
          <w:rFonts w:hint="eastAsia" w:ascii="宋体" w:hAnsi="宋体" w:eastAsia="宋体" w:cs="宋体"/>
          <w:color w:val="auto"/>
          <w:sz w:val="24"/>
          <w:szCs w:val="24"/>
          <w:highlight w:val="none"/>
          <w:lang w:val="en-US" w:eastAsia="zh-CN"/>
        </w:rPr>
        <w:t>予以</w:t>
      </w:r>
      <w:r>
        <w:rPr>
          <w:rFonts w:hint="eastAsia" w:ascii="宋体" w:hAnsi="宋体" w:eastAsia="宋体" w:cs="宋体"/>
          <w:color w:val="auto"/>
          <w:sz w:val="24"/>
          <w:szCs w:val="24"/>
          <w:highlight w:val="none"/>
          <w:lang w:eastAsia="zh-CN"/>
        </w:rPr>
        <w:t xml:space="preserve">赔偿，赔偿金额不少于本合同约定费用总额的20%。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4.成交供应商如有其它任何违约行为，未按照采购人要求期限及时改正的，每逾期一日，成交供应商应向采购人支付</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lang w:eastAsia="zh-CN"/>
        </w:rPr>
        <w:t>费用总额的0.5%；逾期达到10日的，采购人有权解除本合同。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5.成交供应商违约导致本合同提前终止（包括采购人行使合同解除权的情况）的，采购人无需向成交供应商支付任何费用，且成交供应商应向采购人支付</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lang w:eastAsia="zh-CN"/>
        </w:rPr>
        <w:t>费用总额20%的违约金，采购人仍有其他损失的，由成交供应商继续赔偿。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6.成交供应商应向采购人支付的违约金、赔偿金等任何费用，采购人可直接从应付</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lang w:eastAsia="zh-CN"/>
        </w:rPr>
        <w:t>费用中扣除，成交供应商不持异议。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除因不可抗力的因素影响外，成交供应商必须按时保质保量完成全部工作，否则成交供应商应承担相应违约责任。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en-US" w:eastAsia="zh-CN"/>
        </w:rPr>
        <w:t>、其他约定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任何一方由于不可抗力原因不能履行合同时，应第一时间向对方通报，双方均应及时采取有效补救措施以减少损失，在取得有关机构的不可抗力证明或双方谅解确认后，允许延期履行或修订合同，并可根据具体情况部分或全部免于承担违约责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
          <w:iCs/>
          <w:color w:val="auto"/>
          <w:w w:val="80"/>
          <w:sz w:val="21"/>
          <w:szCs w:val="21"/>
          <w:highlight w:val="none"/>
          <w:shd w:val="clear" w:color="auto" w:fill="auto"/>
        </w:rPr>
      </w:pPr>
      <w:r>
        <w:rPr>
          <w:rFonts w:hint="eastAsia" w:ascii="宋体" w:hAnsi="宋体" w:eastAsia="宋体" w:cs="宋体"/>
          <w:color w:val="auto"/>
          <w:sz w:val="24"/>
          <w:szCs w:val="24"/>
          <w:highlight w:val="none"/>
          <w:lang w:val="en-US" w:eastAsia="zh-CN"/>
        </w:rPr>
        <w:t>2.采购人</w:t>
      </w:r>
      <w:r>
        <w:rPr>
          <w:rFonts w:hint="eastAsia" w:ascii="宋体" w:hAnsi="宋体" w:eastAsia="宋体" w:cs="宋体"/>
          <w:color w:val="auto"/>
          <w:sz w:val="24"/>
          <w:szCs w:val="24"/>
          <w:highlight w:val="none"/>
          <w:lang w:eastAsia="zh-CN"/>
        </w:rPr>
        <w:t>由于订立合同所依据的客观情况发生重大或较大变化，以及由于政府政策等</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不能预见且不可抗拒的原因致使合同无法履行或使合同履行变得不必要，</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有权部分或全部解除、终止合同，并免于承担违约责任，对供应商实际合理支出作出合理补偿。</w:t>
      </w:r>
      <w:r>
        <w:rPr>
          <w:rFonts w:hint="eastAsia" w:hAnsi="宋体" w:cs="宋体"/>
          <w:b/>
          <w:iCs/>
          <w:color w:val="auto"/>
          <w:w w:val="80"/>
          <w:sz w:val="21"/>
          <w:szCs w:val="21"/>
          <w:highlight w:val="none"/>
          <w:shd w:val="clear" w:color="auto" w:fill="auto"/>
        </w:rPr>
        <w:br w:type="page"/>
      </w:r>
    </w:p>
    <w:p>
      <w:pPr>
        <w:snapToGrid w:val="0"/>
        <w:spacing w:before="332" w:after="332" w:line="360" w:lineRule="auto"/>
        <w:jc w:val="center"/>
        <w:outlineLvl w:val="1"/>
        <w:rPr>
          <w:rFonts w:hAnsi="宋体" w:cs="宋体"/>
          <w:color w:val="auto"/>
          <w:kern w:val="0"/>
          <w:sz w:val="24"/>
          <w:szCs w:val="24"/>
          <w:highlight w:val="none"/>
          <w:shd w:val="clear" w:color="auto" w:fill="auto"/>
        </w:rPr>
      </w:pPr>
      <w:r>
        <w:rPr>
          <w:rFonts w:hint="eastAsia" w:hAnsi="宋体" w:cs="宋体"/>
          <w:b/>
          <w:iCs/>
          <w:color w:val="auto"/>
          <w:w w:val="80"/>
          <w:sz w:val="44"/>
          <w:szCs w:val="44"/>
          <w:highlight w:val="none"/>
          <w:shd w:val="clear" w:color="auto" w:fill="auto"/>
        </w:rPr>
        <w:t xml:space="preserve">第四章  </w:t>
      </w:r>
      <w:bookmarkStart w:id="1" w:name="_Toc85627670"/>
      <w:bookmarkStart w:id="2" w:name="_Toc182848996"/>
      <w:bookmarkStart w:id="3" w:name="_Toc38121794"/>
      <w:bookmarkStart w:id="4" w:name="_Toc43217893"/>
      <w:bookmarkStart w:id="5" w:name="_Toc37322565"/>
      <w:r>
        <w:rPr>
          <w:rFonts w:hint="eastAsia" w:hAnsi="宋体" w:cs="宋体"/>
          <w:b/>
          <w:iCs/>
          <w:color w:val="auto"/>
          <w:w w:val="80"/>
          <w:sz w:val="44"/>
          <w:szCs w:val="44"/>
          <w:highlight w:val="none"/>
          <w:shd w:val="clear" w:color="auto" w:fill="auto"/>
        </w:rPr>
        <w:t>评审方法和程序</w:t>
      </w:r>
    </w:p>
    <w:bookmarkEnd w:id="1"/>
    <w:bookmarkEnd w:id="2"/>
    <w:bookmarkEnd w:id="3"/>
    <w:bookmarkEnd w:id="4"/>
    <w:bookmarkEnd w:id="5"/>
    <w:p>
      <w:pPr>
        <w:snapToGrid w:val="0"/>
        <w:spacing w:line="520" w:lineRule="exact"/>
        <w:ind w:firstLine="482" w:firstLineChars="200"/>
        <w:outlineLvl w:val="1"/>
        <w:rPr>
          <w:rFonts w:hAnsi="宋体" w:cs="宋体"/>
          <w:b/>
          <w:color w:val="auto"/>
          <w:sz w:val="24"/>
          <w:szCs w:val="24"/>
          <w:highlight w:val="none"/>
          <w:shd w:val="clear" w:color="auto" w:fill="auto"/>
        </w:rPr>
      </w:pPr>
      <w:bookmarkStart w:id="6" w:name="_Toc363573857"/>
      <w:bookmarkEnd w:id="6"/>
      <w:r>
        <w:rPr>
          <w:rFonts w:hint="eastAsia" w:hAnsi="宋体" w:cs="宋体"/>
          <w:b/>
          <w:color w:val="auto"/>
          <w:sz w:val="24"/>
          <w:szCs w:val="24"/>
          <w:highlight w:val="none"/>
          <w:shd w:val="clear" w:color="auto" w:fill="auto"/>
        </w:rPr>
        <w:t>一、代理机构组织磋商</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1.本次竞争性磋商依据有关法规成立磋商小组。磋商小组由采购人代表和评审专家共3人以上单数组成。</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2.磋商小组的职责：</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（1）磋商小组成员应当按照客观、公正、审慎的原则，根据磋商文件规定的评审程序、评审方法和评审标准进行独立评审。</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（2）磋商小组成员应当遵守评审工作纪律，不得泄露评审情况和评审中获悉的商业秘密，对个人的评审意见承担法律责任；</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（3）磋商小组成员在评审过程中发现供应商有行贿、提供虚假材料或者串通等违法行为的，应当及时向</w:t>
      </w:r>
      <w:r>
        <w:rPr>
          <w:rFonts w:hint="eastAsia" w:hAnsi="宋体" w:cs="宋体"/>
          <w:color w:val="auto"/>
          <w:sz w:val="24"/>
          <w:szCs w:val="24"/>
          <w:highlight w:val="none"/>
          <w:shd w:val="clear" w:color="auto" w:fill="auto"/>
          <w:lang w:val="en-US" w:eastAsia="zh-CN"/>
        </w:rPr>
        <w:t>相关</w:t>
      </w:r>
      <w:r>
        <w:rPr>
          <w:rFonts w:hint="eastAsia" w:hAnsi="宋体" w:cs="宋体"/>
          <w:color w:val="auto"/>
          <w:sz w:val="24"/>
          <w:szCs w:val="24"/>
          <w:highlight w:val="none"/>
          <w:shd w:val="clear" w:color="auto" w:fill="auto"/>
        </w:rPr>
        <w:t>部门报告。</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（4）磋商小组成员在评审过程中受到非法干涉的，应当及时向</w:t>
      </w:r>
      <w:r>
        <w:rPr>
          <w:rFonts w:hint="eastAsia" w:hAnsi="宋体" w:cs="宋体"/>
          <w:color w:val="auto"/>
          <w:sz w:val="24"/>
          <w:szCs w:val="24"/>
          <w:highlight w:val="none"/>
          <w:shd w:val="clear" w:color="auto" w:fill="auto"/>
          <w:lang w:val="en-US" w:eastAsia="zh-CN"/>
        </w:rPr>
        <w:t>相关</w:t>
      </w:r>
      <w:r>
        <w:rPr>
          <w:rFonts w:hint="eastAsia" w:hAnsi="宋体" w:cs="宋体"/>
          <w:color w:val="auto"/>
          <w:sz w:val="24"/>
          <w:szCs w:val="24"/>
          <w:highlight w:val="none"/>
          <w:shd w:val="clear" w:color="auto" w:fill="auto"/>
        </w:rPr>
        <w:t>部门举报。</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（5）配合采购人答复供应商提出的质疑；配合</w:t>
      </w:r>
      <w:r>
        <w:rPr>
          <w:rFonts w:hint="eastAsia" w:hAnsi="宋体" w:cs="宋体"/>
          <w:color w:val="auto"/>
          <w:sz w:val="24"/>
          <w:szCs w:val="24"/>
          <w:highlight w:val="none"/>
          <w:shd w:val="clear" w:color="auto" w:fill="auto"/>
          <w:lang w:val="en-US" w:eastAsia="zh-CN"/>
        </w:rPr>
        <w:t>相关</w:t>
      </w:r>
      <w:r>
        <w:rPr>
          <w:rFonts w:hint="eastAsia" w:hAnsi="宋体" w:cs="宋体"/>
          <w:color w:val="auto"/>
          <w:sz w:val="24"/>
          <w:szCs w:val="24"/>
          <w:highlight w:val="none"/>
          <w:shd w:val="clear" w:color="auto" w:fill="auto"/>
        </w:rPr>
        <w:t>部门的投诉处理和监督检查工作。</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3.评审有关记录由磋商小组成员签名，存档备查。</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4.供应商的法定代表人或被授权人须持身份证准时参加磋商开标会。</w:t>
      </w:r>
    </w:p>
    <w:p>
      <w:pPr>
        <w:snapToGrid w:val="0"/>
        <w:spacing w:line="52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二、磋商的原则及方法</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1.磋商小组依据相关法规，遵循“公开、公平、公正、择优、信用”的原则进行磋商评审。</w:t>
      </w:r>
    </w:p>
    <w:p>
      <w:pPr>
        <w:snapToGrid w:val="0"/>
        <w:spacing w:line="520" w:lineRule="exact"/>
        <w:ind w:firstLine="484" w:firstLineChars="202"/>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2.磋商小组将按照竞争性磋商文件的规定，独立对每个进入打分程序的有效供应商的响应文件的</w:t>
      </w:r>
      <w:r>
        <w:rPr>
          <w:rFonts w:hint="eastAsia"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技术部分以打分的形式进行评审和评价。</w:t>
      </w:r>
      <w:r>
        <w:rPr>
          <w:rFonts w:hint="eastAsia"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技术分取算术平均值（计算结果均四舍五入保留两位小数）。</w:t>
      </w:r>
    </w:p>
    <w:p>
      <w:pPr>
        <w:snapToGrid w:val="0"/>
        <w:spacing w:line="520" w:lineRule="exact"/>
        <w:ind w:firstLine="484" w:firstLineChars="202"/>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4.磋商小组所有成员可集中与单一供应商分别进行磋商，并给予所有参加磋商的供应商平等的磋商机会。</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6.对磋商文件作出的实质性变动是磋商文件的有效组成部分，磋商小组应当及时以书面形式同时通知所有参加磋商的供应商。</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8.经磋商确定最终采购需求和提交最后报价的供应商：磋商文件能够详细列明采购标的的技术、服务要求的，磋商结束后，磋商小组应当要求所有实质性响应的供应商在规定时间内提交最后报价。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9.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10.除非在磋商中磋商小组对采购人需求内容作了调整增加，或对采购内容作了实质性变更，否则</w:t>
      </w:r>
      <w:r>
        <w:rPr>
          <w:rFonts w:hint="eastAsia" w:hAnsi="宋体" w:cs="宋体"/>
          <w:b/>
          <w:color w:val="auto"/>
          <w:sz w:val="24"/>
          <w:szCs w:val="24"/>
          <w:highlight w:val="none"/>
          <w:shd w:val="clear" w:color="auto" w:fill="auto"/>
        </w:rPr>
        <w:t>采购人不接受供应商高于自己前一轮的磋商报价</w:t>
      </w:r>
      <w:r>
        <w:rPr>
          <w:rFonts w:hint="eastAsia" w:hAnsi="宋体" w:cs="宋体"/>
          <w:color w:val="auto"/>
          <w:sz w:val="24"/>
          <w:szCs w:val="24"/>
          <w:highlight w:val="none"/>
          <w:shd w:val="clear" w:color="auto" w:fill="auto"/>
        </w:rPr>
        <w:t>。</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11.对于在磋商顺利开始后至最终报价前，根据磋商情况退出磋商的供应商，须以书面形式说明退出磋商的原因，经磋商小组同意可以退出磋商。</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12.在磋商中，磋商的任何一方不得透露与磋商有关的其他响应磋商的供应商的技术资料、价格及其他信息。</w:t>
      </w:r>
    </w:p>
    <w:p>
      <w:pPr>
        <w:snapToGrid w:val="0"/>
        <w:spacing w:line="520" w:lineRule="exact"/>
        <w:ind w:firstLine="480" w:firstLineChars="200"/>
        <w:rPr>
          <w:rFonts w:hAnsi="宋体"/>
          <w:color w:val="auto"/>
          <w:sz w:val="24"/>
          <w:szCs w:val="24"/>
          <w:highlight w:val="none"/>
          <w:shd w:val="clear" w:color="auto" w:fill="auto"/>
        </w:rPr>
      </w:pPr>
      <w:r>
        <w:rPr>
          <w:rFonts w:hint="eastAsia" w:hAnsi="宋体" w:cs="宋体"/>
          <w:color w:val="auto"/>
          <w:sz w:val="24"/>
          <w:szCs w:val="24"/>
          <w:highlight w:val="none"/>
          <w:shd w:val="clear" w:color="auto" w:fill="auto"/>
        </w:rPr>
        <w:t>13.</w:t>
      </w:r>
      <w:r>
        <w:rPr>
          <w:rFonts w:hint="eastAsia" w:hAnsi="宋体"/>
          <w:color w:val="auto"/>
          <w:sz w:val="24"/>
          <w:szCs w:val="24"/>
          <w:highlight w:val="none"/>
          <w:shd w:val="clear" w:color="auto" w:fill="auto"/>
        </w:rPr>
        <w:t>单位负责人为同一人或者存在直接控股、管理关系的不同供应商，都不得在同一采购项目相同标段中同时参加磋商，一经发现，将视同围标处理。</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14.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响应处理。</w:t>
      </w:r>
    </w:p>
    <w:p>
      <w:pPr>
        <w:snapToGrid w:val="0"/>
        <w:spacing w:line="480" w:lineRule="exact"/>
        <w:ind w:firstLine="482" w:firstLineChars="200"/>
        <w:rPr>
          <w:rFonts w:hint="eastAsia" w:ascii="宋体" w:hAnsi="宋体" w:cs="宋体"/>
          <w:b/>
          <w:bCs/>
          <w:color w:val="auto"/>
          <w:sz w:val="24"/>
          <w:szCs w:val="24"/>
          <w:highlight w:val="none"/>
        </w:rPr>
      </w:pPr>
      <w:r>
        <w:rPr>
          <w:rFonts w:hint="eastAsia" w:ascii="Times New Roman" w:hAnsi="宋体" w:cs="宋体"/>
          <w:b/>
          <w:bCs/>
          <w:color w:val="auto"/>
          <w:sz w:val="24"/>
          <w:szCs w:val="24"/>
          <w:highlight w:val="none"/>
          <w:shd w:val="clear" w:color="auto" w:fill="auto"/>
        </w:rPr>
        <w:t>15.</w:t>
      </w:r>
      <w:r>
        <w:rPr>
          <w:rFonts w:hint="eastAsia" w:ascii="宋体" w:hAnsi="宋体" w:cs="宋体"/>
          <w:b/>
          <w:bCs/>
          <w:color w:val="auto"/>
          <w:sz w:val="24"/>
          <w:szCs w:val="24"/>
          <w:highlight w:val="none"/>
        </w:rPr>
        <w:t>若符合资格条件的供应商满三家，在采购过程中符合要求的供应商只有两家，则由磋商小组集体讨论决定是否继续进行竞争性磋商采购活动；若采购过程中符合要求的供应商只有一家，则终止本次竞争性磋商采购活动，重新开展采购活动。</w:t>
      </w:r>
    </w:p>
    <w:p>
      <w:pPr>
        <w:snapToGrid w:val="0"/>
        <w:spacing w:line="520" w:lineRule="exact"/>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三、评审步骤</w:t>
      </w:r>
    </w:p>
    <w:p>
      <w:pPr>
        <w:snapToGrid w:val="0"/>
        <w:spacing w:line="520" w:lineRule="exact"/>
        <w:ind w:firstLine="482" w:firstLineChars="200"/>
        <w:rPr>
          <w:rFonts w:ascii="宋体" w:hAnsi="宋体" w:cs="宋体"/>
          <w:b/>
          <w:bCs/>
          <w:color w:val="auto"/>
          <w:sz w:val="24"/>
          <w:szCs w:val="24"/>
          <w:highlight w:val="none"/>
          <w:shd w:val="clear" w:color="auto" w:fill="auto"/>
          <w:lang w:val="zh-CN"/>
        </w:rPr>
      </w:pPr>
      <w:r>
        <w:rPr>
          <w:rFonts w:hint="eastAsia" w:ascii="宋体" w:hAnsi="宋体" w:cs="宋体"/>
          <w:b/>
          <w:bCs/>
          <w:color w:val="auto"/>
          <w:sz w:val="24"/>
          <w:szCs w:val="24"/>
          <w:highlight w:val="none"/>
          <w:shd w:val="clear" w:color="auto" w:fill="auto"/>
          <w:lang w:val="zh-CN"/>
        </w:rPr>
        <w:t>1.评审步骤规定：</w:t>
      </w:r>
    </w:p>
    <w:p>
      <w:pPr>
        <w:snapToGrid w:val="0"/>
        <w:spacing w:line="520" w:lineRule="exact"/>
        <w:ind w:firstLine="482" w:firstLineChars="200"/>
        <w:rPr>
          <w:rFonts w:ascii="宋体" w:hAnsi="宋体" w:cs="宋体"/>
          <w:b/>
          <w:bCs/>
          <w:color w:val="auto"/>
          <w:sz w:val="24"/>
          <w:szCs w:val="24"/>
          <w:highlight w:val="none"/>
          <w:shd w:val="clear" w:color="auto" w:fill="auto"/>
          <w:lang w:val="zh-CN"/>
        </w:rPr>
      </w:pPr>
      <w:r>
        <w:rPr>
          <w:rFonts w:hint="eastAsia" w:ascii="宋体" w:hAnsi="宋体" w:cs="宋体"/>
          <w:b/>
          <w:bCs/>
          <w:color w:val="auto"/>
          <w:sz w:val="24"/>
          <w:szCs w:val="24"/>
          <w:highlight w:val="none"/>
          <w:shd w:val="clear" w:color="auto" w:fill="auto"/>
          <w:lang w:val="zh-CN"/>
        </w:rPr>
        <w:t>本次资格审查采用资格后审，各供应商资格审查通过后方能进入</w:t>
      </w:r>
      <w:r>
        <w:rPr>
          <w:rFonts w:hint="eastAsia" w:ascii="宋体" w:hAnsi="宋体" w:cs="宋体"/>
          <w:b/>
          <w:bCs/>
          <w:color w:val="auto"/>
          <w:sz w:val="24"/>
          <w:szCs w:val="24"/>
          <w:highlight w:val="none"/>
          <w:shd w:val="clear" w:color="auto" w:fill="auto"/>
          <w:lang w:val="en-US" w:eastAsia="zh-CN"/>
        </w:rPr>
        <w:t>商务</w:t>
      </w:r>
      <w:r>
        <w:rPr>
          <w:rFonts w:hint="eastAsia" w:ascii="宋体" w:hAnsi="宋体" w:cs="宋体"/>
          <w:b/>
          <w:bCs/>
          <w:color w:val="auto"/>
          <w:sz w:val="24"/>
          <w:szCs w:val="24"/>
          <w:highlight w:val="none"/>
          <w:shd w:val="clear" w:color="auto" w:fill="auto"/>
          <w:lang w:val="zh-CN"/>
        </w:rPr>
        <w:t>技术标的开标。先开</w:t>
      </w:r>
      <w:r>
        <w:rPr>
          <w:rFonts w:hint="eastAsia" w:ascii="宋体" w:hAnsi="宋体" w:cs="宋体"/>
          <w:b/>
          <w:bCs/>
          <w:color w:val="auto"/>
          <w:sz w:val="24"/>
          <w:szCs w:val="24"/>
          <w:highlight w:val="none"/>
          <w:shd w:val="clear" w:color="auto" w:fill="auto"/>
          <w:lang w:val="en-US" w:eastAsia="zh-CN"/>
        </w:rPr>
        <w:t>商务</w:t>
      </w:r>
      <w:r>
        <w:rPr>
          <w:rFonts w:hint="eastAsia" w:ascii="宋体" w:hAnsi="宋体" w:cs="宋体"/>
          <w:b/>
          <w:bCs/>
          <w:color w:val="auto"/>
          <w:sz w:val="24"/>
          <w:szCs w:val="24"/>
          <w:highlight w:val="none"/>
          <w:shd w:val="clear" w:color="auto" w:fill="auto"/>
          <w:lang w:val="zh-CN"/>
        </w:rPr>
        <w:t>技术标，</w:t>
      </w:r>
      <w:r>
        <w:rPr>
          <w:rFonts w:hint="eastAsia" w:ascii="宋体" w:hAnsi="宋体" w:cs="宋体"/>
          <w:b/>
          <w:bCs/>
          <w:color w:val="auto"/>
          <w:sz w:val="24"/>
          <w:szCs w:val="24"/>
          <w:highlight w:val="none"/>
          <w:shd w:val="clear" w:color="auto" w:fill="auto"/>
          <w:lang w:val="en-US" w:eastAsia="zh-CN"/>
        </w:rPr>
        <w:t>商务</w:t>
      </w:r>
      <w:r>
        <w:rPr>
          <w:rFonts w:hint="eastAsia" w:ascii="宋体" w:hAnsi="宋体" w:cs="宋体"/>
          <w:b/>
          <w:bCs/>
          <w:color w:val="auto"/>
          <w:sz w:val="24"/>
          <w:szCs w:val="24"/>
          <w:highlight w:val="none"/>
          <w:shd w:val="clear" w:color="auto" w:fill="auto"/>
          <w:lang w:val="zh-CN"/>
        </w:rPr>
        <w:t>技术标打分结束后再开价格标。</w:t>
      </w:r>
    </w:p>
    <w:p>
      <w:pPr>
        <w:snapToGrid w:val="0"/>
        <w:spacing w:line="520" w:lineRule="exact"/>
        <w:ind w:firstLine="480" w:firstLineChars="200"/>
        <w:rPr>
          <w:rFonts w:ascii="宋体" w:hAnsi="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第一阶段：</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lang w:val="zh-CN"/>
        </w:rPr>
        <w:t>对每个供应商的资格进行审查。</w:t>
      </w:r>
    </w:p>
    <w:p>
      <w:pPr>
        <w:snapToGrid w:val="0"/>
        <w:spacing w:line="520" w:lineRule="exact"/>
        <w:ind w:firstLine="480" w:firstLineChars="200"/>
        <w:rPr>
          <w:rFonts w:ascii="宋体" w:hAnsi="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第二阶段：</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lang w:val="zh-CN"/>
        </w:rPr>
        <w:t>对每个符合资格要求的供应商的</w:t>
      </w:r>
      <w:r>
        <w:rPr>
          <w:rFonts w:hint="eastAsia" w:ascii="宋体" w:hAnsi="宋体" w:cs="宋体"/>
          <w:color w:val="auto"/>
          <w:sz w:val="24"/>
          <w:szCs w:val="24"/>
          <w:highlight w:val="none"/>
          <w:shd w:val="clear" w:color="auto" w:fill="auto"/>
          <w:lang w:val="en-US" w:eastAsia="zh-CN"/>
        </w:rPr>
        <w:t>商务</w:t>
      </w:r>
      <w:r>
        <w:rPr>
          <w:rFonts w:hint="eastAsia" w:ascii="宋体" w:hAnsi="宋体" w:cs="宋体"/>
          <w:color w:val="auto"/>
          <w:sz w:val="24"/>
          <w:szCs w:val="24"/>
          <w:highlight w:val="none"/>
          <w:shd w:val="clear" w:color="auto" w:fill="auto"/>
          <w:lang w:val="zh-CN"/>
        </w:rPr>
        <w:t>技术标进行</w:t>
      </w:r>
      <w:r>
        <w:rPr>
          <w:rFonts w:hint="eastAsia" w:ascii="宋体" w:hAnsi="宋体" w:cs="宋体"/>
          <w:color w:val="auto"/>
          <w:sz w:val="24"/>
          <w:szCs w:val="24"/>
          <w:highlight w:val="none"/>
          <w:shd w:val="clear" w:color="auto" w:fill="auto"/>
        </w:rPr>
        <w:t>评审</w:t>
      </w:r>
      <w:r>
        <w:rPr>
          <w:rFonts w:hint="eastAsia" w:ascii="宋体" w:hAnsi="宋体" w:cs="宋体"/>
          <w:color w:val="auto"/>
          <w:sz w:val="24"/>
          <w:szCs w:val="24"/>
          <w:highlight w:val="none"/>
          <w:shd w:val="clear" w:color="auto" w:fill="auto"/>
          <w:lang w:val="zh-CN"/>
        </w:rPr>
        <w:t>。主要审查</w:t>
      </w:r>
      <w:r>
        <w:rPr>
          <w:rFonts w:hint="eastAsia" w:ascii="宋体" w:hAnsi="宋体" w:cs="宋体"/>
          <w:color w:val="auto"/>
          <w:sz w:val="24"/>
          <w:szCs w:val="24"/>
          <w:highlight w:val="none"/>
          <w:shd w:val="clear" w:color="auto" w:fill="auto"/>
          <w:lang w:val="en-US" w:eastAsia="zh-CN"/>
        </w:rPr>
        <w:t>商务</w:t>
      </w:r>
      <w:r>
        <w:rPr>
          <w:rFonts w:hint="eastAsia" w:ascii="宋体" w:hAnsi="宋体" w:cs="宋体"/>
          <w:color w:val="auto"/>
          <w:sz w:val="24"/>
          <w:szCs w:val="24"/>
          <w:highlight w:val="none"/>
          <w:shd w:val="clear" w:color="auto" w:fill="auto"/>
          <w:lang w:val="zh-CN"/>
        </w:rPr>
        <w:t>技术标提交的内容是否齐全，</w:t>
      </w:r>
      <w:r>
        <w:rPr>
          <w:rFonts w:hint="eastAsia" w:ascii="宋体" w:hAnsi="宋体" w:cs="宋体"/>
          <w:color w:val="auto"/>
          <w:sz w:val="24"/>
          <w:szCs w:val="24"/>
          <w:highlight w:val="none"/>
          <w:shd w:val="clear" w:color="auto" w:fill="auto"/>
          <w:lang w:val="en-US" w:eastAsia="zh-CN"/>
        </w:rPr>
        <w:t>商务</w:t>
      </w:r>
      <w:r>
        <w:rPr>
          <w:rFonts w:hint="eastAsia" w:ascii="宋体" w:hAnsi="宋体" w:cs="宋体"/>
          <w:color w:val="auto"/>
          <w:sz w:val="24"/>
          <w:szCs w:val="24"/>
          <w:highlight w:val="none"/>
          <w:shd w:val="clear" w:color="auto" w:fill="auto"/>
          <w:lang w:val="zh-CN"/>
        </w:rPr>
        <w:t>技术方案及项目实施是否完全满足采购文件的要求。</w:t>
      </w:r>
      <w:r>
        <w:rPr>
          <w:rFonts w:hint="eastAsia" w:ascii="宋体" w:hAnsi="宋体" w:cs="宋体"/>
          <w:color w:val="auto"/>
          <w:sz w:val="24"/>
          <w:highlight w:val="none"/>
          <w:shd w:val="clear" w:color="auto" w:fill="auto"/>
        </w:rPr>
        <w:t>磋商小组严格按照磋商文件的要求、条件、评分标准，对供应商所提供货物或服务的先进性、可靠性、售后服务承诺、质量保证承诺等实质性响应内容进行比较。</w:t>
      </w:r>
    </w:p>
    <w:p>
      <w:pPr>
        <w:snapToGrid w:val="0"/>
        <w:spacing w:line="520" w:lineRule="exact"/>
        <w:ind w:firstLine="480" w:firstLineChars="200"/>
        <w:rPr>
          <w:rFonts w:ascii="宋体" w:hAnsi="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第三阶段：以</w:t>
      </w:r>
      <w:r>
        <w:rPr>
          <w:rFonts w:hint="eastAsia" w:ascii="宋体" w:hAnsi="宋体" w:cs="宋体"/>
          <w:color w:val="auto"/>
          <w:sz w:val="24"/>
          <w:szCs w:val="24"/>
          <w:highlight w:val="none"/>
          <w:shd w:val="clear" w:color="auto" w:fill="auto"/>
        </w:rPr>
        <w:t>供应商</w:t>
      </w:r>
      <w:r>
        <w:rPr>
          <w:rFonts w:hint="eastAsia" w:ascii="宋体" w:hAnsi="宋体" w:cs="宋体"/>
          <w:color w:val="auto"/>
          <w:sz w:val="24"/>
          <w:szCs w:val="24"/>
          <w:highlight w:val="none"/>
          <w:shd w:val="clear" w:color="auto" w:fill="auto"/>
          <w:lang w:val="zh-CN"/>
        </w:rPr>
        <w:t>价格标文件内的</w:t>
      </w:r>
      <w:r>
        <w:rPr>
          <w:rFonts w:hint="eastAsia" w:ascii="宋体" w:hAnsi="宋体" w:cs="宋体"/>
          <w:color w:val="auto"/>
          <w:sz w:val="24"/>
          <w:szCs w:val="24"/>
          <w:highlight w:val="none"/>
          <w:shd w:val="clear" w:color="auto" w:fill="auto"/>
        </w:rPr>
        <w:t>竞争性磋商</w:t>
      </w:r>
      <w:r>
        <w:rPr>
          <w:rFonts w:hint="eastAsia" w:ascii="宋体" w:hAnsi="宋体" w:cs="宋体"/>
          <w:color w:val="auto"/>
          <w:sz w:val="24"/>
          <w:szCs w:val="24"/>
          <w:highlight w:val="none"/>
          <w:shd w:val="clear" w:color="auto" w:fill="auto"/>
          <w:lang w:val="zh-CN"/>
        </w:rPr>
        <w:t>报价（即首次报价）为基础，</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rPr>
        <w:t>与供应商</w:t>
      </w:r>
      <w:r>
        <w:rPr>
          <w:rFonts w:hint="eastAsia" w:ascii="宋体" w:hAnsi="宋体" w:cs="宋体"/>
          <w:color w:val="auto"/>
          <w:sz w:val="24"/>
          <w:szCs w:val="24"/>
          <w:highlight w:val="none"/>
          <w:shd w:val="clear" w:color="auto" w:fill="auto"/>
          <w:lang w:val="zh-CN"/>
        </w:rPr>
        <w:t>单一分别进行</w:t>
      </w:r>
      <w:r>
        <w:rPr>
          <w:rFonts w:hint="eastAsia" w:ascii="宋体"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：内容主要是对</w:t>
      </w:r>
      <w:r>
        <w:rPr>
          <w:rFonts w:hint="eastAsia" w:ascii="宋体" w:hAnsi="宋体" w:cs="宋体"/>
          <w:color w:val="auto"/>
          <w:sz w:val="24"/>
          <w:szCs w:val="24"/>
          <w:highlight w:val="none"/>
          <w:shd w:val="clear" w:color="auto" w:fill="auto"/>
        </w:rPr>
        <w:t>竞争性磋商</w:t>
      </w:r>
      <w:r>
        <w:rPr>
          <w:rFonts w:hint="eastAsia" w:ascii="宋体" w:hAnsi="宋体" w:cs="宋体"/>
          <w:color w:val="auto"/>
          <w:sz w:val="24"/>
          <w:szCs w:val="24"/>
          <w:highlight w:val="none"/>
          <w:shd w:val="clear" w:color="auto" w:fill="auto"/>
          <w:lang w:val="zh-CN"/>
        </w:rPr>
        <w:t>响应文件中的项目方案的澄清、修正、补充、确认以及价格调整等。</w:t>
      </w:r>
      <w:r>
        <w:rPr>
          <w:rFonts w:hint="eastAsia" w:ascii="宋体"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明确各供应商符合并满足</w:t>
      </w:r>
      <w:r>
        <w:rPr>
          <w:rFonts w:hint="eastAsia"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文件要求，并能完全响应</w:t>
      </w:r>
      <w:r>
        <w:rPr>
          <w:rFonts w:hint="eastAsia" w:ascii="宋体"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内容后，要求其二次报价。如</w:t>
      </w:r>
      <w:r>
        <w:rPr>
          <w:rFonts w:hint="eastAsia" w:ascii="宋体"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内容导致</w:t>
      </w:r>
      <w:r>
        <w:rPr>
          <w:rFonts w:hint="eastAsia" w:ascii="宋体" w:hAnsi="宋体" w:cs="宋体"/>
          <w:color w:val="auto"/>
          <w:sz w:val="24"/>
          <w:szCs w:val="24"/>
          <w:highlight w:val="none"/>
          <w:shd w:val="clear" w:color="auto" w:fill="auto"/>
        </w:rPr>
        <w:t>竞争性磋商</w:t>
      </w:r>
      <w:r>
        <w:rPr>
          <w:rFonts w:hint="eastAsia" w:ascii="宋体" w:hAnsi="宋体" w:cs="宋体"/>
          <w:color w:val="auto"/>
          <w:sz w:val="24"/>
          <w:szCs w:val="24"/>
          <w:highlight w:val="none"/>
          <w:shd w:val="clear" w:color="auto" w:fill="auto"/>
          <w:lang w:val="zh-CN"/>
        </w:rPr>
        <w:t>文件有实质性变动的，</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lang w:val="zh-CN"/>
        </w:rPr>
        <w:t xml:space="preserve">应当以书面形式通知所有供应商。  </w:t>
      </w:r>
    </w:p>
    <w:p>
      <w:pPr>
        <w:snapToGrid w:val="0"/>
        <w:spacing w:line="520" w:lineRule="exact"/>
        <w:ind w:firstLine="480" w:firstLineChars="200"/>
        <w:rPr>
          <w:rFonts w:ascii="宋体" w:hAnsi="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第四阶段：单一分别</w:t>
      </w:r>
      <w:r>
        <w:rPr>
          <w:rFonts w:hint="eastAsia" w:ascii="宋体"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结束后，</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lang w:val="zh-CN"/>
        </w:rPr>
        <w:t>告知所有供应商的项目二次报价，并要求所有作出实质性响应的有效供应商在规定的时间内，给出最终报价，同时最终报价中可包括但不限于如最终澄清方案、有关优惠承诺等。</w:t>
      </w:r>
    </w:p>
    <w:p>
      <w:pPr>
        <w:snapToGrid w:val="0"/>
        <w:spacing w:line="520" w:lineRule="exact"/>
        <w:ind w:firstLine="480" w:firstLineChars="200"/>
        <w:rPr>
          <w:rFonts w:ascii="宋体" w:hAnsi="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第五阶段：</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lang w:val="zh-CN"/>
        </w:rPr>
        <w:t>对供应商的最终报价进行评议和比较，在实质性响应</w:t>
      </w:r>
      <w:r>
        <w:rPr>
          <w:rFonts w:hint="eastAsia" w:ascii="宋体" w:hAnsi="宋体" w:cs="宋体"/>
          <w:color w:val="auto"/>
          <w:sz w:val="24"/>
          <w:szCs w:val="24"/>
          <w:highlight w:val="none"/>
          <w:shd w:val="clear" w:color="auto" w:fill="auto"/>
        </w:rPr>
        <w:t>竞争性磋商</w:t>
      </w:r>
      <w:r>
        <w:rPr>
          <w:rFonts w:hint="eastAsia" w:ascii="宋体" w:hAnsi="宋体" w:cs="宋体"/>
          <w:color w:val="auto"/>
          <w:sz w:val="24"/>
          <w:szCs w:val="24"/>
          <w:highlight w:val="none"/>
          <w:shd w:val="clear" w:color="auto" w:fill="auto"/>
          <w:lang w:val="zh-CN"/>
        </w:rPr>
        <w:t>文件，</w:t>
      </w:r>
      <w:r>
        <w:rPr>
          <w:rFonts w:hint="eastAsia" w:ascii="宋体" w:hAnsi="宋体" w:cs="宋体"/>
          <w:color w:val="auto"/>
          <w:sz w:val="24"/>
          <w:szCs w:val="24"/>
          <w:highlight w:val="none"/>
          <w:shd w:val="clear" w:color="auto" w:fill="auto"/>
          <w:lang w:val="en-US" w:eastAsia="zh-CN"/>
        </w:rPr>
        <w:t>商务</w:t>
      </w:r>
      <w:r>
        <w:rPr>
          <w:rFonts w:hint="eastAsia" w:ascii="宋体" w:hAnsi="宋体" w:cs="宋体"/>
          <w:color w:val="auto"/>
          <w:sz w:val="24"/>
          <w:szCs w:val="24"/>
          <w:highlight w:val="none"/>
          <w:shd w:val="clear" w:color="auto" w:fill="auto"/>
          <w:lang w:val="zh-CN"/>
        </w:rPr>
        <w:t>技术标和价格标部分都能满足</w:t>
      </w:r>
      <w:r>
        <w:rPr>
          <w:rFonts w:hint="eastAsia" w:ascii="宋体" w:hAnsi="宋体" w:cs="宋体"/>
          <w:color w:val="auto"/>
          <w:sz w:val="24"/>
          <w:szCs w:val="24"/>
          <w:highlight w:val="none"/>
          <w:shd w:val="clear" w:color="auto" w:fill="auto"/>
        </w:rPr>
        <w:t>竞争性磋商</w:t>
      </w:r>
      <w:r>
        <w:rPr>
          <w:rFonts w:hint="eastAsia" w:ascii="宋体" w:hAnsi="宋体" w:cs="宋体"/>
          <w:color w:val="auto"/>
          <w:sz w:val="24"/>
          <w:szCs w:val="24"/>
          <w:highlight w:val="none"/>
          <w:shd w:val="clear" w:color="auto" w:fill="auto"/>
          <w:lang w:val="zh-CN"/>
        </w:rPr>
        <w:t>文件的前提下，</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lang w:val="zh-CN"/>
        </w:rPr>
        <w:t>将校核后的各供应商的报价从低到高排序。</w:t>
      </w:r>
    </w:p>
    <w:p>
      <w:pPr>
        <w:snapToGrid w:val="0"/>
        <w:spacing w:line="520" w:lineRule="exact"/>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zh-CN"/>
        </w:rPr>
        <w:t>2.在</w:t>
      </w:r>
      <w:r>
        <w:rPr>
          <w:rFonts w:hint="eastAsia" w:ascii="宋体"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过程中，供应商提交的澄清文件和最终报价文件，由供应商法定代表人或被授权人签字盖章后生效，供应商受其约束。</w:t>
      </w:r>
    </w:p>
    <w:p>
      <w:pPr>
        <w:snapToGrid w:val="0"/>
        <w:spacing w:line="52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四、磋商评定结果的方法</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w:t>
      </w:r>
      <w:r>
        <w:rPr>
          <w:rFonts w:hint="eastAsia" w:hAnsi="宋体" w:cs="宋体"/>
          <w:b/>
          <w:color w:val="auto"/>
          <w:sz w:val="24"/>
          <w:szCs w:val="24"/>
          <w:highlight w:val="none"/>
          <w:u w:val="single"/>
          <w:shd w:val="clear" w:color="auto" w:fill="auto"/>
        </w:rPr>
        <w:t>经磋商确定最终采购需求和提交最后报价的供应商后，</w:t>
      </w:r>
      <w:r>
        <w:rPr>
          <w:rFonts w:hint="eastAsia" w:hAnsi="宋体" w:cs="宋体"/>
          <w:color w:val="auto"/>
          <w:sz w:val="24"/>
          <w:szCs w:val="24"/>
          <w:highlight w:val="none"/>
          <w:shd w:val="clear" w:color="auto" w:fill="auto"/>
        </w:rPr>
        <w:t>由磋商小组采用综合评分法</w:t>
      </w:r>
      <w:r>
        <w:rPr>
          <w:rFonts w:hint="eastAsia" w:hAnsi="宋体" w:cs="宋体"/>
          <w:b/>
          <w:color w:val="auto"/>
          <w:sz w:val="24"/>
          <w:szCs w:val="24"/>
          <w:highlight w:val="none"/>
          <w:u w:val="single"/>
          <w:shd w:val="clear" w:color="auto" w:fill="auto"/>
        </w:rPr>
        <w:t>对提交最后报价的供应商的响应文件和最后报价</w:t>
      </w:r>
      <w:r>
        <w:rPr>
          <w:rFonts w:hint="eastAsia" w:hAnsi="宋体" w:cs="宋体"/>
          <w:color w:val="auto"/>
          <w:sz w:val="24"/>
          <w:szCs w:val="24"/>
          <w:highlight w:val="none"/>
          <w:shd w:val="clear" w:color="auto" w:fill="auto"/>
        </w:rPr>
        <w:t>进行综合评分。</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2.评审时，磋商小组各成员应当独立对每个有效响应的文件进行评价、打分，然后汇总每个供应商每项评分因素的得分（计算结果均四舍五入保留两位小数）。</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3.本次项目磋商的</w:t>
      </w: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 xml:space="preserve">技术和报价评审总分值为100分。两部分评审因素比重如下： </w:t>
      </w:r>
    </w:p>
    <w:p>
      <w:pPr>
        <w:snapToGrid w:val="0"/>
        <w:spacing w:line="520" w:lineRule="exact"/>
        <w:ind w:firstLine="480" w:firstLineChars="200"/>
        <w:rPr>
          <w:rFonts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技术分值占总分值的比重为</w:t>
      </w:r>
      <w:r>
        <w:rPr>
          <w:rFonts w:hint="eastAsia" w:hAnsi="宋体" w:cs="宋体"/>
          <w:b/>
          <w:color w:val="auto"/>
          <w:sz w:val="24"/>
          <w:szCs w:val="24"/>
          <w:highlight w:val="none"/>
          <w:u w:val="single"/>
          <w:shd w:val="clear" w:color="auto" w:fill="auto"/>
          <w:lang w:val="en-US" w:eastAsia="zh-CN"/>
        </w:rPr>
        <w:t>70</w:t>
      </w:r>
      <w:r>
        <w:rPr>
          <w:rFonts w:hint="eastAsia" w:hAnsi="宋体" w:cs="宋体"/>
          <w:b/>
          <w:color w:val="auto"/>
          <w:sz w:val="24"/>
          <w:szCs w:val="24"/>
          <w:highlight w:val="none"/>
          <w:u w:val="single"/>
          <w:shd w:val="clear" w:color="auto" w:fill="auto"/>
        </w:rPr>
        <w:t>%（权重）</w:t>
      </w:r>
      <w:r>
        <w:rPr>
          <w:rFonts w:hint="eastAsia" w:hAnsi="宋体" w:cs="宋体"/>
          <w:color w:val="auto"/>
          <w:sz w:val="24"/>
          <w:szCs w:val="24"/>
          <w:highlight w:val="none"/>
          <w:shd w:val="clear" w:color="auto" w:fill="auto"/>
        </w:rPr>
        <w:t>（四舍五入保留两位小数）；</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报价分值占总分值的比重为</w:t>
      </w:r>
      <w:r>
        <w:rPr>
          <w:rFonts w:hint="eastAsia" w:ascii="Times New Roman" w:hAnsi="宋体" w:eastAsia="宋体" w:cs="宋体"/>
          <w:b/>
          <w:color w:val="auto"/>
          <w:sz w:val="24"/>
          <w:szCs w:val="24"/>
          <w:highlight w:val="none"/>
          <w:u w:val="single"/>
          <w:shd w:val="clear" w:color="auto" w:fill="auto"/>
          <w:lang w:val="en-US" w:eastAsia="zh-CN"/>
        </w:rPr>
        <w:t>30</w:t>
      </w:r>
      <w:r>
        <w:rPr>
          <w:rFonts w:hint="eastAsia" w:ascii="Times New Roman" w:hAnsi="宋体" w:eastAsia="宋体" w:cs="宋体"/>
          <w:b/>
          <w:color w:val="auto"/>
          <w:sz w:val="24"/>
          <w:szCs w:val="24"/>
          <w:highlight w:val="none"/>
          <w:u w:val="single"/>
          <w:shd w:val="clear" w:color="auto" w:fill="auto"/>
        </w:rPr>
        <w:t>%（权重</w:t>
      </w:r>
      <w:r>
        <w:rPr>
          <w:rFonts w:hint="eastAsia" w:hAnsi="宋体" w:cs="宋体"/>
          <w:b/>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（四舍五入保留两位小数）。</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w:t>
      </w: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技术分按算术平均值计算，分值四舍五入保留两位小数。</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w:t>
      </w:r>
      <w:r>
        <w:rPr>
          <w:rFonts w:hint="eastAsia" w:hAnsi="宋体" w:cs="宋体"/>
          <w:color w:val="auto"/>
          <w:sz w:val="24"/>
          <w:szCs w:val="24"/>
          <w:highlight w:val="none"/>
          <w:shd w:val="clear" w:color="auto" w:fill="auto"/>
          <w:lang w:eastAsia="zh-CN"/>
        </w:rPr>
        <w:t>报价</w:t>
      </w:r>
      <w:r>
        <w:rPr>
          <w:rFonts w:hint="eastAsia" w:hAnsi="宋体" w:cs="宋体"/>
          <w:color w:val="auto"/>
          <w:sz w:val="24"/>
          <w:szCs w:val="24"/>
          <w:highlight w:val="none"/>
          <w:shd w:val="clear" w:color="auto" w:fill="auto"/>
        </w:rPr>
        <w:t>分统一采用低价优先法计算直接取得，与</w:t>
      </w: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技术分相加为供应商的综合得分（四舍五入保留两位小数）。</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6.综合得分最高的供应商推荐为项目预成交人并出具评审磋商报告。</w:t>
      </w:r>
    </w:p>
    <w:p>
      <w:pPr>
        <w:snapToGrid w:val="0"/>
        <w:spacing w:line="520" w:lineRule="exact"/>
        <w:ind w:firstLine="480" w:firstLineChars="200"/>
        <w:outlineLvl w:val="1"/>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7.确定成交候选人的特殊情况处理： </w:t>
      </w:r>
    </w:p>
    <w:p>
      <w:pPr>
        <w:snapToGrid w:val="0"/>
        <w:spacing w:line="520" w:lineRule="exact"/>
        <w:ind w:firstLine="480" w:firstLineChars="200"/>
        <w:outlineLvl w:val="1"/>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（1）若总分相同，则按</w:t>
      </w:r>
      <w:r>
        <w:rPr>
          <w:rFonts w:hint="eastAsia" w:hAnsi="宋体" w:cs="宋体"/>
          <w:color w:val="auto"/>
          <w:sz w:val="24"/>
          <w:szCs w:val="24"/>
          <w:highlight w:val="none"/>
          <w:shd w:val="clear" w:color="auto" w:fill="auto"/>
          <w:lang w:eastAsia="zh-CN"/>
        </w:rPr>
        <w:t>价格标</w:t>
      </w:r>
      <w:r>
        <w:rPr>
          <w:rFonts w:hint="eastAsia" w:hAnsi="宋体" w:cs="宋体"/>
          <w:color w:val="auto"/>
          <w:sz w:val="24"/>
          <w:szCs w:val="24"/>
          <w:highlight w:val="none"/>
          <w:shd w:val="clear" w:color="auto" w:fill="auto"/>
        </w:rPr>
        <w:t>得分高者优先成交。</w:t>
      </w:r>
    </w:p>
    <w:p>
      <w:pPr>
        <w:snapToGrid w:val="0"/>
        <w:spacing w:line="520" w:lineRule="exact"/>
        <w:ind w:firstLine="480" w:firstLineChars="200"/>
        <w:outlineLvl w:val="1"/>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（2）若总分且</w:t>
      </w: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技术分得分相同，则采取抽签的方式确定。</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8.磋商评审时，评委对评审的细则若有争议，由磋商小组集体讨论确定，并对未尽情况有最终解释权。</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9.对落标的供应商不做落标原因的解释。</w:t>
      </w:r>
    </w:p>
    <w:p>
      <w:pPr>
        <w:snapToGrid w:val="0"/>
        <w:spacing w:line="52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五、综合评分评审标准</w:t>
      </w:r>
    </w:p>
    <w:p>
      <w:pPr>
        <w:snapToGrid w:val="0"/>
        <w:spacing w:line="520" w:lineRule="exact"/>
        <w:ind w:firstLine="480" w:firstLineChars="200"/>
        <w:outlineLvl w:val="2"/>
        <w:rPr>
          <w:rFonts w:hint="eastAsia"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（一）</w:t>
      </w: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技术分：（</w:t>
      </w:r>
      <w:r>
        <w:rPr>
          <w:rFonts w:hint="eastAsia" w:hAnsi="宋体" w:cs="宋体"/>
          <w:color w:val="auto"/>
          <w:sz w:val="24"/>
          <w:szCs w:val="24"/>
          <w:highlight w:val="none"/>
          <w:shd w:val="clear" w:color="auto" w:fill="auto"/>
          <w:lang w:val="en-US" w:eastAsia="zh-CN"/>
        </w:rPr>
        <w:t>70</w:t>
      </w:r>
      <w:r>
        <w:rPr>
          <w:rFonts w:hint="eastAsia" w:hAnsi="宋体" w:cs="宋体"/>
          <w:color w:val="auto"/>
          <w:sz w:val="24"/>
          <w:szCs w:val="24"/>
          <w:highlight w:val="none"/>
          <w:shd w:val="clear" w:color="auto" w:fill="auto"/>
        </w:rPr>
        <w:t>分）</w:t>
      </w:r>
    </w:p>
    <w:tbl>
      <w:tblPr>
        <w:tblStyle w:val="19"/>
        <w:tblW w:w="9518"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7"/>
        <w:gridCol w:w="8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right"/>
        </w:trPr>
        <w:tc>
          <w:tcPr>
            <w:tcW w:w="1167" w:type="dxa"/>
            <w:noWrap w:val="0"/>
            <w:vAlign w:val="center"/>
          </w:tcPr>
          <w:p>
            <w:pPr>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评分因素</w:t>
            </w:r>
          </w:p>
        </w:tc>
        <w:tc>
          <w:tcPr>
            <w:tcW w:w="8351" w:type="dxa"/>
            <w:noWrap w:val="0"/>
            <w:vAlign w:val="center"/>
          </w:tcPr>
          <w:p>
            <w:pPr>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1167" w:type="dxa"/>
            <w:noWrap w:val="0"/>
            <w:vAlign w:val="center"/>
          </w:tcPr>
          <w:p>
            <w:pPr>
              <w:snapToGrid w:val="0"/>
              <w:spacing w:line="520" w:lineRule="exact"/>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设计方案总体评价</w:t>
            </w:r>
          </w:p>
          <w:p>
            <w:pPr>
              <w:snapToGrid w:val="0"/>
              <w:spacing w:line="520" w:lineRule="exac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15分</w:t>
            </w:r>
            <w:r>
              <w:rPr>
                <w:rFonts w:hint="eastAsia" w:ascii="宋体" w:hAnsi="宋体" w:eastAsia="宋体" w:cs="Times New Roman"/>
                <w:color w:val="auto"/>
                <w:sz w:val="21"/>
                <w:szCs w:val="21"/>
                <w:highlight w:val="none"/>
                <w:lang w:eastAsia="zh-CN"/>
              </w:rPr>
              <w:t>）</w:t>
            </w:r>
          </w:p>
        </w:tc>
        <w:tc>
          <w:tcPr>
            <w:tcW w:w="8351" w:type="dxa"/>
            <w:noWrap w:val="0"/>
            <w:vAlign w:val="center"/>
          </w:tcPr>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对本项目的理解透彻、设计定位准确、设计理念新颖，设计效果表现清晰，空间效果、材质和色彩的真实感强、可行性强的得</w:t>
            </w:r>
            <w:r>
              <w:rPr>
                <w:rFonts w:hint="eastAsia" w:cs="Times New Roman" w:asciiTheme="majorEastAsia" w:hAnsiTheme="majorEastAsia" w:eastAsiaTheme="majorEastAsia"/>
                <w:color w:val="auto"/>
                <w:sz w:val="21"/>
                <w:szCs w:val="21"/>
                <w:highlight w:val="none"/>
                <w:lang w:val="en-US" w:eastAsia="zh-CN"/>
              </w:rPr>
              <w:t>15</w:t>
            </w:r>
            <w:r>
              <w:rPr>
                <w:rFonts w:hint="eastAsia" w:cs="Times New Roman" w:asciiTheme="majorEastAsia" w:hAnsiTheme="majorEastAsia" w:eastAsiaTheme="majorEastAsia"/>
                <w:color w:val="auto"/>
                <w:sz w:val="21"/>
                <w:szCs w:val="21"/>
                <w:highlight w:val="none"/>
              </w:rPr>
              <w:t>分；</w:t>
            </w:r>
          </w:p>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对本项目的理解较清晰、设计定位较为准确、设计理念较新颖，设计效果较清晰，空间效果、材质和色彩具有一定的真实感，基本可行的得</w:t>
            </w:r>
            <w:r>
              <w:rPr>
                <w:rFonts w:hint="eastAsia" w:cs="Times New Roman" w:asciiTheme="majorEastAsia" w:hAnsiTheme="majorEastAsia" w:eastAsiaTheme="majorEastAsia"/>
                <w:color w:val="auto"/>
                <w:sz w:val="21"/>
                <w:szCs w:val="21"/>
                <w:highlight w:val="none"/>
                <w:lang w:val="en-US" w:eastAsia="zh-CN"/>
              </w:rPr>
              <w:t>9</w:t>
            </w:r>
            <w:r>
              <w:rPr>
                <w:rFonts w:hint="eastAsia" w:cs="Times New Roman" w:asciiTheme="majorEastAsia" w:hAnsiTheme="majorEastAsia" w:eastAsiaTheme="majorEastAsia"/>
                <w:color w:val="auto"/>
                <w:sz w:val="21"/>
                <w:szCs w:val="21"/>
                <w:highlight w:val="none"/>
              </w:rPr>
              <w:t>分；</w:t>
            </w:r>
          </w:p>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对本项目的理解不足，设计定位不够准确、设计理念陈旧，设计效果一般，空间效果、材质和色彩的真实感不明显，可行性弱的得</w:t>
            </w:r>
            <w:r>
              <w:rPr>
                <w:rFonts w:hint="eastAsia" w:cs="Times New Roman" w:asciiTheme="majorEastAsia" w:hAnsiTheme="majorEastAsia" w:eastAsiaTheme="majorEastAsia"/>
                <w:color w:val="auto"/>
                <w:sz w:val="21"/>
                <w:szCs w:val="21"/>
                <w:highlight w:val="none"/>
                <w:lang w:val="en-US" w:eastAsia="zh-CN"/>
              </w:rPr>
              <w:t>3</w:t>
            </w:r>
            <w:r>
              <w:rPr>
                <w:rFonts w:hint="eastAsia" w:cs="Times New Roman" w:asciiTheme="majorEastAsia" w:hAnsiTheme="majorEastAsia" w:eastAsiaTheme="majorEastAsia"/>
                <w:color w:val="auto"/>
                <w:sz w:val="21"/>
                <w:szCs w:val="21"/>
                <w:highlight w:val="none"/>
              </w:rPr>
              <w:t>分；</w:t>
            </w:r>
          </w:p>
          <w:p>
            <w:pPr>
              <w:spacing w:line="400" w:lineRule="exact"/>
              <w:rPr>
                <w:rFonts w:hint="eastAsia" w:cs="Times New Roman" w:asciiTheme="majorEastAsia" w:hAnsiTheme="majorEastAsia" w:eastAsiaTheme="majorEastAsia"/>
                <w:color w:val="auto"/>
                <w:sz w:val="21"/>
                <w:szCs w:val="21"/>
                <w:highlight w:val="none"/>
                <w:lang w:eastAsia="zh-CN"/>
              </w:rPr>
            </w:pPr>
            <w:r>
              <w:rPr>
                <w:rFonts w:hint="eastAsia" w:cs="Times New Roman" w:asciiTheme="majorEastAsia" w:hAnsiTheme="majorEastAsia" w:eastAsiaTheme="majorEastAsia"/>
                <w:color w:val="auto"/>
                <w:sz w:val="21"/>
                <w:szCs w:val="21"/>
                <w:highlight w:val="none"/>
              </w:rPr>
              <w:t>未提供内容的不得分</w:t>
            </w:r>
            <w:r>
              <w:rPr>
                <w:rFonts w:hint="eastAsia" w:cs="Times New Roman" w:asciiTheme="majorEastAsia" w:hAnsiTheme="majorEastAsia" w:eastAsiaTheme="majorEastAsia"/>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right"/>
        </w:trPr>
        <w:tc>
          <w:tcPr>
            <w:tcW w:w="1167" w:type="dxa"/>
            <w:noWrap w:val="0"/>
            <w:vAlign w:val="center"/>
          </w:tcPr>
          <w:p>
            <w:pPr>
              <w:snapToGrid w:val="0"/>
              <w:spacing w:line="520" w:lineRule="exac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空间布局及参观流线（5分）</w:t>
            </w:r>
          </w:p>
        </w:tc>
        <w:tc>
          <w:tcPr>
            <w:tcW w:w="8351" w:type="dxa"/>
            <w:shd w:val="clear" w:color="auto" w:fill="auto"/>
            <w:noWrap w:val="0"/>
            <w:vAlign w:val="center"/>
          </w:tcPr>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空间布局合理，参观流线顺畅的得</w:t>
            </w:r>
            <w:r>
              <w:rPr>
                <w:rFonts w:hint="eastAsia" w:cs="Times New Roman" w:asciiTheme="majorEastAsia" w:hAnsiTheme="majorEastAsia" w:eastAsiaTheme="majorEastAsia"/>
                <w:color w:val="auto"/>
                <w:sz w:val="21"/>
                <w:szCs w:val="21"/>
                <w:highlight w:val="none"/>
                <w:lang w:val="en-US" w:eastAsia="zh-CN"/>
              </w:rPr>
              <w:t>5</w:t>
            </w:r>
            <w:r>
              <w:rPr>
                <w:rFonts w:hint="eastAsia" w:cs="Times New Roman" w:asciiTheme="majorEastAsia" w:hAnsiTheme="majorEastAsia" w:eastAsiaTheme="majorEastAsia"/>
                <w:color w:val="auto"/>
                <w:sz w:val="21"/>
                <w:szCs w:val="21"/>
                <w:highlight w:val="none"/>
              </w:rPr>
              <w:t>分；</w:t>
            </w:r>
          </w:p>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空间布局较为合理，参观流线较为顺畅的得</w:t>
            </w:r>
            <w:r>
              <w:rPr>
                <w:rFonts w:hint="eastAsia" w:cs="Times New Roman" w:asciiTheme="majorEastAsia" w:hAnsiTheme="majorEastAsia" w:eastAsiaTheme="majorEastAsia"/>
                <w:color w:val="auto"/>
                <w:sz w:val="21"/>
                <w:szCs w:val="21"/>
                <w:highlight w:val="none"/>
                <w:lang w:val="en-US" w:eastAsia="zh-CN"/>
              </w:rPr>
              <w:t>3</w:t>
            </w:r>
            <w:r>
              <w:rPr>
                <w:rFonts w:hint="eastAsia" w:cs="Times New Roman" w:asciiTheme="majorEastAsia" w:hAnsiTheme="majorEastAsia" w:eastAsiaTheme="majorEastAsia"/>
                <w:color w:val="auto"/>
                <w:sz w:val="21"/>
                <w:szCs w:val="21"/>
                <w:highlight w:val="none"/>
              </w:rPr>
              <w:t>分；</w:t>
            </w:r>
          </w:p>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空间布局不合理，参观流线不顺畅的得</w:t>
            </w:r>
            <w:r>
              <w:rPr>
                <w:rFonts w:hint="eastAsia" w:cs="Times New Roman" w:asciiTheme="majorEastAsia" w:hAnsiTheme="majorEastAsia" w:eastAsiaTheme="majorEastAsia"/>
                <w:color w:val="auto"/>
                <w:sz w:val="21"/>
                <w:szCs w:val="21"/>
                <w:highlight w:val="none"/>
                <w:lang w:val="en-US" w:eastAsia="zh-CN"/>
              </w:rPr>
              <w:t>1</w:t>
            </w:r>
            <w:r>
              <w:rPr>
                <w:rFonts w:hint="eastAsia" w:cs="Times New Roman" w:asciiTheme="majorEastAsia" w:hAnsiTheme="majorEastAsia" w:eastAsiaTheme="majorEastAsia"/>
                <w:color w:val="auto"/>
                <w:sz w:val="21"/>
                <w:szCs w:val="21"/>
                <w:highlight w:val="none"/>
              </w:rPr>
              <w:t>分；</w:t>
            </w:r>
          </w:p>
          <w:p>
            <w:pPr>
              <w:spacing w:line="400" w:lineRule="exact"/>
              <w:rPr>
                <w:rFonts w:hint="eastAsia" w:cs="Times New Roman" w:asciiTheme="majorEastAsia" w:hAnsiTheme="majorEastAsia" w:eastAsiaTheme="majorEastAsia"/>
                <w:color w:val="auto"/>
                <w:sz w:val="21"/>
                <w:szCs w:val="21"/>
                <w:highlight w:val="none"/>
                <w:lang w:val="en-US" w:eastAsia="zh-CN"/>
              </w:rPr>
            </w:pPr>
            <w:r>
              <w:rPr>
                <w:rFonts w:hint="eastAsia" w:cs="Times New Roman" w:asciiTheme="majorEastAsia" w:hAnsiTheme="majorEastAsia" w:eastAsiaTheme="majorEastAsia"/>
                <w:color w:val="auto"/>
                <w:sz w:val="21"/>
                <w:szCs w:val="21"/>
                <w:highlight w:val="none"/>
              </w:rPr>
              <w:t>未提供内容的不得分。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1167" w:type="dxa"/>
            <w:noWrap w:val="0"/>
            <w:vAlign w:val="center"/>
          </w:tcPr>
          <w:p>
            <w:pPr>
              <w:snapToGrid w:val="0"/>
              <w:spacing w:line="520" w:lineRule="exac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艺术品及场景设计（10分）</w:t>
            </w:r>
          </w:p>
        </w:tc>
        <w:tc>
          <w:tcPr>
            <w:tcW w:w="8351" w:type="dxa"/>
            <w:shd w:val="clear" w:color="auto" w:fill="auto"/>
            <w:noWrap w:val="0"/>
            <w:vAlign w:val="center"/>
          </w:tcPr>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艺术装置场景设计摆放合理，体现展览主题，艺术性强、审美性高的得</w:t>
            </w:r>
            <w:r>
              <w:rPr>
                <w:rFonts w:hint="eastAsia" w:cs="Times New Roman" w:asciiTheme="majorEastAsia" w:hAnsiTheme="majorEastAsia" w:eastAsiaTheme="majorEastAsia"/>
                <w:color w:val="auto"/>
                <w:sz w:val="21"/>
                <w:szCs w:val="21"/>
                <w:highlight w:val="none"/>
                <w:lang w:val="en-US" w:eastAsia="zh-CN"/>
              </w:rPr>
              <w:t>10</w:t>
            </w:r>
            <w:r>
              <w:rPr>
                <w:rFonts w:hint="eastAsia" w:cs="Times New Roman" w:asciiTheme="majorEastAsia" w:hAnsiTheme="majorEastAsia" w:eastAsiaTheme="majorEastAsia"/>
                <w:color w:val="auto"/>
                <w:sz w:val="21"/>
                <w:szCs w:val="21"/>
                <w:highlight w:val="none"/>
              </w:rPr>
              <w:t>分；</w:t>
            </w:r>
          </w:p>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艺术装置场景设计较合理，较能体现主题，具有一定的艺术及审美性的得</w:t>
            </w:r>
            <w:r>
              <w:rPr>
                <w:rFonts w:hint="eastAsia" w:cs="Times New Roman" w:asciiTheme="majorEastAsia" w:hAnsiTheme="majorEastAsia" w:eastAsiaTheme="majorEastAsia"/>
                <w:color w:val="auto"/>
                <w:sz w:val="21"/>
                <w:szCs w:val="21"/>
                <w:highlight w:val="none"/>
                <w:lang w:val="en-US" w:eastAsia="zh-CN"/>
              </w:rPr>
              <w:t>7</w:t>
            </w:r>
            <w:r>
              <w:rPr>
                <w:rFonts w:hint="eastAsia" w:cs="Times New Roman" w:asciiTheme="majorEastAsia" w:hAnsiTheme="majorEastAsia" w:eastAsiaTheme="majorEastAsia"/>
                <w:color w:val="auto"/>
                <w:sz w:val="21"/>
                <w:szCs w:val="21"/>
                <w:highlight w:val="none"/>
              </w:rPr>
              <w:t>分；</w:t>
            </w:r>
          </w:p>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艺术装置场景设计不合理，与主题不符，艺术及审美性弱的得</w:t>
            </w:r>
            <w:r>
              <w:rPr>
                <w:rFonts w:hint="eastAsia" w:cs="Times New Roman" w:asciiTheme="majorEastAsia" w:hAnsiTheme="majorEastAsia" w:eastAsiaTheme="majorEastAsia"/>
                <w:color w:val="auto"/>
                <w:sz w:val="21"/>
                <w:szCs w:val="21"/>
                <w:highlight w:val="none"/>
                <w:lang w:val="en-US" w:eastAsia="zh-CN"/>
              </w:rPr>
              <w:t>4</w:t>
            </w:r>
            <w:r>
              <w:rPr>
                <w:rFonts w:hint="eastAsia" w:cs="Times New Roman" w:asciiTheme="majorEastAsia" w:hAnsiTheme="majorEastAsia" w:eastAsiaTheme="majorEastAsia"/>
                <w:color w:val="auto"/>
                <w:sz w:val="21"/>
                <w:szCs w:val="21"/>
                <w:highlight w:val="none"/>
              </w:rPr>
              <w:t>分；</w:t>
            </w:r>
          </w:p>
          <w:p>
            <w:pPr>
              <w:spacing w:line="400" w:lineRule="exact"/>
              <w:rPr>
                <w:rFonts w:hint="eastAsia" w:cs="Times New Roman" w:asciiTheme="majorEastAsia" w:hAnsiTheme="majorEastAsia" w:eastAsiaTheme="majorEastAsia"/>
                <w:color w:val="auto"/>
                <w:sz w:val="21"/>
                <w:szCs w:val="21"/>
                <w:highlight w:val="none"/>
                <w:lang w:val="en-US" w:eastAsia="zh-CN"/>
              </w:rPr>
            </w:pPr>
            <w:r>
              <w:rPr>
                <w:rFonts w:hint="eastAsia" w:cs="Times New Roman" w:asciiTheme="majorEastAsia" w:hAnsiTheme="majorEastAsia" w:eastAsiaTheme="majorEastAsia"/>
                <w:color w:val="auto"/>
                <w:sz w:val="21"/>
                <w:szCs w:val="21"/>
                <w:highlight w:val="none"/>
              </w:rPr>
              <w:t>未提供内容的不得分。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1167" w:type="dxa"/>
            <w:noWrap w:val="0"/>
            <w:vAlign w:val="center"/>
          </w:tcPr>
          <w:p>
            <w:pPr>
              <w:snapToGrid w:val="0"/>
              <w:spacing w:line="520" w:lineRule="exac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展陈立面和美工制作设计</w:t>
            </w:r>
          </w:p>
          <w:p>
            <w:pPr>
              <w:snapToGrid w:val="0"/>
              <w:spacing w:line="520" w:lineRule="exac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（10分）</w:t>
            </w:r>
          </w:p>
        </w:tc>
        <w:tc>
          <w:tcPr>
            <w:tcW w:w="8351" w:type="dxa"/>
            <w:shd w:val="clear" w:color="auto" w:fill="auto"/>
            <w:noWrap w:val="0"/>
            <w:vAlign w:val="center"/>
          </w:tcPr>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结合展架进行立面设计</w:t>
            </w:r>
          </w:p>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设计全面详实、标题、展面、立面设计达到图像及文字描述对位和充分表现的得</w:t>
            </w:r>
            <w:r>
              <w:rPr>
                <w:rFonts w:hint="eastAsia" w:cs="Times New Roman" w:asciiTheme="majorEastAsia" w:hAnsiTheme="majorEastAsia" w:eastAsiaTheme="majorEastAsia"/>
                <w:color w:val="auto"/>
                <w:sz w:val="21"/>
                <w:szCs w:val="21"/>
                <w:highlight w:val="none"/>
                <w:lang w:val="en-US" w:eastAsia="zh-CN"/>
              </w:rPr>
              <w:t>10</w:t>
            </w:r>
            <w:r>
              <w:rPr>
                <w:rFonts w:hint="eastAsia" w:cs="Times New Roman" w:asciiTheme="majorEastAsia" w:hAnsiTheme="majorEastAsia" w:eastAsiaTheme="majorEastAsia"/>
                <w:color w:val="auto"/>
                <w:sz w:val="21"/>
                <w:szCs w:val="21"/>
                <w:highlight w:val="none"/>
              </w:rPr>
              <w:t>分；</w:t>
            </w:r>
          </w:p>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设计基本完整、标题、展面、立面设计图像和文字基本对位、有一定表现力的得</w:t>
            </w:r>
            <w:r>
              <w:rPr>
                <w:rFonts w:hint="eastAsia" w:cs="Times New Roman" w:asciiTheme="majorEastAsia" w:hAnsiTheme="majorEastAsia" w:eastAsiaTheme="majorEastAsia"/>
                <w:color w:val="auto"/>
                <w:sz w:val="21"/>
                <w:szCs w:val="21"/>
                <w:highlight w:val="none"/>
                <w:lang w:val="en-US" w:eastAsia="zh-CN"/>
              </w:rPr>
              <w:t>7</w:t>
            </w:r>
            <w:r>
              <w:rPr>
                <w:rFonts w:hint="eastAsia" w:cs="Times New Roman" w:asciiTheme="majorEastAsia" w:hAnsiTheme="majorEastAsia" w:eastAsiaTheme="majorEastAsia"/>
                <w:color w:val="auto"/>
                <w:sz w:val="21"/>
                <w:szCs w:val="21"/>
                <w:highlight w:val="none"/>
              </w:rPr>
              <w:t>分；</w:t>
            </w:r>
          </w:p>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设计不够完整、标题、展面、立面设计图像和文字不够匹配、表现力弱的得</w:t>
            </w:r>
            <w:r>
              <w:rPr>
                <w:rFonts w:hint="eastAsia" w:cs="Times New Roman" w:asciiTheme="majorEastAsia" w:hAnsiTheme="majorEastAsia" w:eastAsiaTheme="majorEastAsia"/>
                <w:color w:val="auto"/>
                <w:sz w:val="21"/>
                <w:szCs w:val="21"/>
                <w:highlight w:val="none"/>
                <w:lang w:val="en-US" w:eastAsia="zh-CN"/>
              </w:rPr>
              <w:t>4</w:t>
            </w:r>
            <w:r>
              <w:rPr>
                <w:rFonts w:hint="eastAsia" w:cs="Times New Roman" w:asciiTheme="majorEastAsia" w:hAnsiTheme="majorEastAsia" w:eastAsiaTheme="majorEastAsia"/>
                <w:color w:val="auto"/>
                <w:sz w:val="21"/>
                <w:szCs w:val="21"/>
                <w:highlight w:val="none"/>
              </w:rPr>
              <w:t>分；</w:t>
            </w:r>
          </w:p>
          <w:p>
            <w:pPr>
              <w:spacing w:line="400" w:lineRule="exact"/>
              <w:rPr>
                <w:rFonts w:hint="eastAsia" w:cs="Times New Roman" w:asciiTheme="majorEastAsia" w:hAnsiTheme="majorEastAsia" w:eastAsiaTheme="majorEastAsia"/>
                <w:color w:val="auto"/>
                <w:sz w:val="21"/>
                <w:szCs w:val="21"/>
                <w:highlight w:val="none"/>
                <w:lang w:val="en-US" w:eastAsia="zh-CN"/>
              </w:rPr>
            </w:pPr>
            <w:r>
              <w:rPr>
                <w:rFonts w:hint="eastAsia" w:cs="Times New Roman" w:asciiTheme="majorEastAsia" w:hAnsiTheme="majorEastAsia" w:eastAsiaTheme="majorEastAsia"/>
                <w:color w:val="auto"/>
                <w:sz w:val="21"/>
                <w:szCs w:val="21"/>
                <w:highlight w:val="none"/>
              </w:rPr>
              <w:t>内容不全或未提供内容的不得分。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1167" w:type="dxa"/>
            <w:noWrap w:val="0"/>
            <w:vAlign w:val="center"/>
          </w:tcPr>
          <w:p>
            <w:pPr>
              <w:snapToGrid w:val="0"/>
              <w:spacing w:line="520" w:lineRule="exac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多媒体展项设计</w:t>
            </w:r>
          </w:p>
          <w:p>
            <w:pPr>
              <w:snapToGrid w:val="0"/>
              <w:spacing w:line="520" w:lineRule="exac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（5分）</w:t>
            </w:r>
          </w:p>
        </w:tc>
        <w:tc>
          <w:tcPr>
            <w:tcW w:w="8351" w:type="dxa"/>
            <w:shd w:val="clear" w:color="auto" w:fill="auto"/>
            <w:noWrap w:val="0"/>
            <w:vAlign w:val="center"/>
          </w:tcPr>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主题内容紧密围绕主题，深刻揭示展馆主题及内涵，有效增强展览的生动性和观众的参与性；富有感染力的得</w:t>
            </w:r>
            <w:r>
              <w:rPr>
                <w:rFonts w:hint="eastAsia" w:cs="Times New Roman" w:asciiTheme="majorEastAsia" w:hAnsiTheme="majorEastAsia" w:eastAsiaTheme="majorEastAsia"/>
                <w:color w:val="auto"/>
                <w:sz w:val="21"/>
                <w:szCs w:val="21"/>
                <w:highlight w:val="none"/>
                <w:lang w:val="en-US" w:eastAsia="zh-CN"/>
              </w:rPr>
              <w:t>5</w:t>
            </w:r>
            <w:r>
              <w:rPr>
                <w:rFonts w:hint="eastAsia" w:cs="Times New Roman" w:asciiTheme="majorEastAsia" w:hAnsiTheme="majorEastAsia" w:eastAsiaTheme="majorEastAsia"/>
                <w:color w:val="auto"/>
                <w:sz w:val="21"/>
                <w:szCs w:val="21"/>
                <w:highlight w:val="none"/>
              </w:rPr>
              <w:t>分。</w:t>
            </w:r>
          </w:p>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主题内容基本围绕主题；内容具有基本情节内容与表现，无明显错漏的得</w:t>
            </w:r>
            <w:r>
              <w:rPr>
                <w:rFonts w:hint="eastAsia" w:cs="Times New Roman" w:asciiTheme="majorEastAsia" w:hAnsiTheme="majorEastAsia" w:eastAsiaTheme="majorEastAsia"/>
                <w:color w:val="auto"/>
                <w:sz w:val="21"/>
                <w:szCs w:val="21"/>
                <w:highlight w:val="none"/>
                <w:lang w:val="en-US" w:eastAsia="zh-CN"/>
              </w:rPr>
              <w:t>3</w:t>
            </w:r>
            <w:r>
              <w:rPr>
                <w:rFonts w:hint="eastAsia" w:cs="Times New Roman" w:asciiTheme="majorEastAsia" w:hAnsiTheme="majorEastAsia" w:eastAsiaTheme="majorEastAsia"/>
                <w:color w:val="auto"/>
                <w:sz w:val="21"/>
                <w:szCs w:val="21"/>
                <w:highlight w:val="none"/>
              </w:rPr>
              <w:t>分。</w:t>
            </w:r>
          </w:p>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主题内容与主题结合较弱；内容缺少基本情节内容与表现；内容不合理的得</w:t>
            </w:r>
            <w:r>
              <w:rPr>
                <w:rFonts w:hint="eastAsia" w:cs="Times New Roman" w:asciiTheme="majorEastAsia" w:hAnsiTheme="majorEastAsia" w:eastAsiaTheme="majorEastAsia"/>
                <w:color w:val="auto"/>
                <w:sz w:val="21"/>
                <w:szCs w:val="21"/>
                <w:highlight w:val="none"/>
                <w:lang w:val="en-US" w:eastAsia="zh-CN"/>
              </w:rPr>
              <w:t>1</w:t>
            </w:r>
            <w:r>
              <w:rPr>
                <w:rFonts w:hint="eastAsia" w:cs="Times New Roman" w:asciiTheme="majorEastAsia" w:hAnsiTheme="majorEastAsia" w:eastAsiaTheme="majorEastAsia"/>
                <w:color w:val="auto"/>
                <w:sz w:val="21"/>
                <w:szCs w:val="21"/>
                <w:highlight w:val="none"/>
              </w:rPr>
              <w:t>分。</w:t>
            </w:r>
          </w:p>
          <w:p>
            <w:pPr>
              <w:spacing w:line="400" w:lineRule="exact"/>
              <w:rPr>
                <w:rFonts w:hint="eastAsia" w:cs="Times New Roman" w:asciiTheme="majorEastAsia" w:hAnsiTheme="majorEastAsia" w:eastAsiaTheme="majorEastAsia"/>
                <w:color w:val="auto"/>
                <w:sz w:val="21"/>
                <w:szCs w:val="21"/>
                <w:highlight w:val="none"/>
                <w:lang w:val="en-US" w:eastAsia="zh-CN"/>
              </w:rPr>
            </w:pPr>
            <w:r>
              <w:rPr>
                <w:rFonts w:hint="eastAsia" w:cs="Times New Roman" w:asciiTheme="majorEastAsia" w:hAnsiTheme="majorEastAsia" w:eastAsiaTheme="majorEastAsia"/>
                <w:color w:val="auto"/>
                <w:sz w:val="21"/>
                <w:szCs w:val="21"/>
                <w:highlight w:val="none"/>
              </w:rPr>
              <w:t>上述内容缺失或未提供的不得分。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1167" w:type="dxa"/>
            <w:noWrap w:val="0"/>
            <w:vAlign w:val="center"/>
          </w:tcPr>
          <w:p>
            <w:pPr>
              <w:snapToGrid w:val="0"/>
              <w:spacing w:line="520" w:lineRule="exac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项目成员配备</w:t>
            </w:r>
          </w:p>
          <w:p>
            <w:pPr>
              <w:snapToGrid w:val="0"/>
              <w:spacing w:line="520" w:lineRule="exac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（5分）</w:t>
            </w:r>
          </w:p>
        </w:tc>
        <w:tc>
          <w:tcPr>
            <w:tcW w:w="8351" w:type="dxa"/>
            <w:shd w:val="clear" w:color="auto" w:fill="auto"/>
            <w:noWrap w:val="0"/>
            <w:vAlign w:val="center"/>
          </w:tcPr>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人员配备合理、专业类别齐全、从业经验丰富、完全符合服务需要的得</w:t>
            </w:r>
            <w:r>
              <w:rPr>
                <w:rFonts w:hint="eastAsia" w:cs="Times New Roman" w:asciiTheme="majorEastAsia" w:hAnsiTheme="majorEastAsia" w:eastAsiaTheme="majorEastAsia"/>
                <w:color w:val="auto"/>
                <w:sz w:val="21"/>
                <w:szCs w:val="21"/>
                <w:highlight w:val="none"/>
                <w:lang w:val="en-US" w:eastAsia="zh-CN"/>
              </w:rPr>
              <w:t>5</w:t>
            </w:r>
            <w:r>
              <w:rPr>
                <w:rFonts w:hint="eastAsia" w:cs="Times New Roman" w:asciiTheme="majorEastAsia" w:hAnsiTheme="majorEastAsia" w:eastAsiaTheme="majorEastAsia"/>
                <w:color w:val="auto"/>
                <w:sz w:val="21"/>
                <w:szCs w:val="21"/>
                <w:highlight w:val="none"/>
              </w:rPr>
              <w:t>分；</w:t>
            </w:r>
          </w:p>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人员配备较为合理、专业类别基本齐全、有过从业经验、基本满足服务需要的得</w:t>
            </w:r>
            <w:r>
              <w:rPr>
                <w:rFonts w:hint="eastAsia" w:cs="Times New Roman" w:asciiTheme="majorEastAsia" w:hAnsiTheme="majorEastAsia" w:eastAsiaTheme="majorEastAsia"/>
                <w:color w:val="auto"/>
                <w:sz w:val="21"/>
                <w:szCs w:val="21"/>
                <w:highlight w:val="none"/>
                <w:lang w:val="en-US" w:eastAsia="zh-CN"/>
              </w:rPr>
              <w:t>3</w:t>
            </w:r>
            <w:r>
              <w:rPr>
                <w:rFonts w:hint="eastAsia" w:cs="Times New Roman" w:asciiTheme="majorEastAsia" w:hAnsiTheme="majorEastAsia" w:eastAsiaTheme="majorEastAsia"/>
                <w:color w:val="auto"/>
                <w:sz w:val="21"/>
                <w:szCs w:val="21"/>
                <w:highlight w:val="none"/>
              </w:rPr>
              <w:t>分；</w:t>
            </w:r>
          </w:p>
          <w:p>
            <w:pPr>
              <w:spacing w:line="400" w:lineRule="exact"/>
              <w:rPr>
                <w:rFonts w:hint="eastAsia" w:cs="Times New Roman" w:asciiTheme="majorEastAsia" w:hAnsiTheme="majorEastAsia" w:eastAsiaTheme="majorEastAsia"/>
                <w:color w:val="auto"/>
                <w:sz w:val="21"/>
                <w:szCs w:val="21"/>
                <w:highlight w:val="none"/>
              </w:rPr>
            </w:pPr>
            <w:r>
              <w:rPr>
                <w:rFonts w:hint="eastAsia" w:cs="Times New Roman" w:asciiTheme="majorEastAsia" w:hAnsiTheme="majorEastAsia" w:eastAsiaTheme="majorEastAsia"/>
                <w:color w:val="auto"/>
                <w:sz w:val="21"/>
                <w:szCs w:val="21"/>
                <w:highlight w:val="none"/>
              </w:rPr>
              <w:t>人员配备简单、专业类别不全、无从业经验、未能完全达到服务需要的得</w:t>
            </w:r>
            <w:r>
              <w:rPr>
                <w:rFonts w:hint="eastAsia" w:cs="Times New Roman" w:asciiTheme="majorEastAsia" w:hAnsiTheme="majorEastAsia" w:eastAsiaTheme="majorEastAsia"/>
                <w:color w:val="auto"/>
                <w:sz w:val="21"/>
                <w:szCs w:val="21"/>
                <w:highlight w:val="none"/>
                <w:lang w:val="en-US" w:eastAsia="zh-CN"/>
              </w:rPr>
              <w:t>1</w:t>
            </w:r>
            <w:r>
              <w:rPr>
                <w:rFonts w:hint="eastAsia" w:cs="Times New Roman" w:asciiTheme="majorEastAsia" w:hAnsiTheme="majorEastAsia" w:eastAsiaTheme="majorEastAsia"/>
                <w:color w:val="auto"/>
                <w:sz w:val="21"/>
                <w:szCs w:val="21"/>
                <w:highlight w:val="none"/>
              </w:rPr>
              <w:t>分；</w:t>
            </w:r>
          </w:p>
          <w:p>
            <w:pPr>
              <w:spacing w:line="400" w:lineRule="exact"/>
              <w:rPr>
                <w:rFonts w:hint="eastAsia" w:cs="Times New Roman" w:asciiTheme="majorEastAsia" w:hAnsiTheme="majorEastAsia" w:eastAsiaTheme="majorEastAsia"/>
                <w:color w:val="auto"/>
                <w:sz w:val="21"/>
                <w:szCs w:val="21"/>
                <w:highlight w:val="none"/>
                <w:lang w:val="en-US" w:eastAsia="zh-CN"/>
              </w:rPr>
            </w:pPr>
            <w:r>
              <w:rPr>
                <w:rFonts w:hint="eastAsia" w:cs="Times New Roman" w:asciiTheme="majorEastAsia" w:hAnsiTheme="majorEastAsia" w:eastAsiaTheme="majorEastAsia"/>
                <w:color w:val="auto"/>
                <w:sz w:val="21"/>
                <w:szCs w:val="21"/>
                <w:highlight w:val="none"/>
              </w:rPr>
              <w:t>未提供内容的不得分。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1167" w:type="dxa"/>
            <w:noWrap w:val="0"/>
            <w:vAlign w:val="center"/>
          </w:tcPr>
          <w:p>
            <w:pPr>
              <w:snapToGrid w:val="0"/>
              <w:spacing w:line="520" w:lineRule="exac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业绩</w:t>
            </w:r>
          </w:p>
          <w:p>
            <w:pPr>
              <w:snapToGrid w:val="0"/>
              <w:spacing w:line="520" w:lineRule="exac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（20分）</w:t>
            </w:r>
          </w:p>
        </w:tc>
        <w:tc>
          <w:tcPr>
            <w:tcW w:w="8351" w:type="dxa"/>
            <w:shd w:val="clear" w:color="auto" w:fill="auto"/>
            <w:noWrap w:val="0"/>
            <w:vAlign w:val="center"/>
          </w:tcPr>
          <w:p>
            <w:pPr>
              <w:spacing w:line="400" w:lineRule="exact"/>
              <w:rPr>
                <w:rFonts w:hint="default" w:cs="Times New Roman" w:asciiTheme="majorEastAsia" w:hAnsiTheme="majorEastAsia" w:eastAsiaTheme="majorEastAsia"/>
                <w:color w:val="auto"/>
                <w:sz w:val="21"/>
                <w:szCs w:val="21"/>
                <w:highlight w:val="none"/>
                <w:lang w:val="en-US" w:eastAsia="zh-CN"/>
              </w:rPr>
            </w:pPr>
            <w:r>
              <w:rPr>
                <w:rFonts w:hint="eastAsia" w:cs="Times New Roman" w:asciiTheme="majorEastAsia" w:hAnsiTheme="majorEastAsia" w:eastAsiaTheme="majorEastAsia"/>
                <w:color w:val="auto"/>
                <w:sz w:val="21"/>
                <w:szCs w:val="21"/>
                <w:highlight w:val="none"/>
              </w:rPr>
              <w:t>供应商</w:t>
            </w:r>
            <w:r>
              <w:rPr>
                <w:rFonts w:hint="eastAsia" w:cs="Times New Roman" w:asciiTheme="majorEastAsia" w:hAnsiTheme="majorEastAsia" w:eastAsiaTheme="majorEastAsia"/>
                <w:color w:val="auto"/>
                <w:sz w:val="21"/>
                <w:szCs w:val="21"/>
                <w:highlight w:val="none"/>
                <w:lang w:val="en-US" w:eastAsia="zh-CN"/>
              </w:rPr>
              <w:t>提供</w:t>
            </w:r>
            <w:r>
              <w:rPr>
                <w:rFonts w:hint="eastAsia" w:cs="Times New Roman" w:asciiTheme="majorEastAsia" w:hAnsiTheme="majorEastAsia" w:eastAsiaTheme="majorEastAsia"/>
                <w:color w:val="auto"/>
                <w:sz w:val="21"/>
                <w:szCs w:val="21"/>
                <w:highlight w:val="none"/>
              </w:rPr>
              <w:t>自</w:t>
            </w:r>
            <w:r>
              <w:rPr>
                <w:rFonts w:hint="eastAsia" w:cs="Times New Roman" w:asciiTheme="majorEastAsia" w:hAnsiTheme="majorEastAsia" w:eastAsiaTheme="majorEastAsia"/>
                <w:color w:val="auto"/>
                <w:sz w:val="21"/>
                <w:szCs w:val="21"/>
                <w:highlight w:val="none"/>
                <w:lang w:val="en-US" w:eastAsia="zh-CN"/>
              </w:rPr>
              <w:t>2021</w:t>
            </w:r>
            <w:r>
              <w:rPr>
                <w:rFonts w:hint="eastAsia" w:cs="Times New Roman" w:asciiTheme="majorEastAsia" w:hAnsiTheme="majorEastAsia" w:eastAsiaTheme="majorEastAsia"/>
                <w:color w:val="auto"/>
                <w:sz w:val="21"/>
                <w:szCs w:val="21"/>
                <w:highlight w:val="none"/>
              </w:rPr>
              <w:t>年</w:t>
            </w:r>
            <w:r>
              <w:rPr>
                <w:rFonts w:hint="eastAsia" w:cs="Times New Roman" w:asciiTheme="majorEastAsia" w:hAnsiTheme="majorEastAsia" w:eastAsiaTheme="majorEastAsia"/>
                <w:color w:val="auto"/>
                <w:sz w:val="21"/>
                <w:szCs w:val="21"/>
                <w:highlight w:val="none"/>
                <w:lang w:val="en-US" w:eastAsia="zh-CN"/>
              </w:rPr>
              <w:t>9月1日以来</w:t>
            </w:r>
            <w:r>
              <w:rPr>
                <w:rFonts w:hint="eastAsia" w:cs="Times New Roman" w:asciiTheme="majorEastAsia" w:hAnsiTheme="majorEastAsia" w:eastAsiaTheme="majorEastAsia"/>
                <w:color w:val="auto"/>
                <w:sz w:val="21"/>
                <w:szCs w:val="21"/>
                <w:highlight w:val="none"/>
              </w:rPr>
              <w:t>（以合同签订日期为准）类似项目（布展设计或布展施工）业绩，</w:t>
            </w:r>
            <w:r>
              <w:rPr>
                <w:rFonts w:hint="eastAsia" w:cs="Times New Roman" w:asciiTheme="majorEastAsia" w:hAnsiTheme="majorEastAsia" w:eastAsiaTheme="majorEastAsia"/>
                <w:color w:val="auto"/>
                <w:sz w:val="21"/>
                <w:szCs w:val="21"/>
                <w:highlight w:val="none"/>
                <w:lang w:val="en-US" w:eastAsia="zh-CN"/>
              </w:rPr>
              <w:t>有一个</w:t>
            </w:r>
            <w:r>
              <w:rPr>
                <w:rFonts w:hint="eastAsia" w:cs="Times New Roman" w:asciiTheme="majorEastAsia" w:hAnsiTheme="majorEastAsia" w:eastAsiaTheme="majorEastAsia"/>
                <w:color w:val="auto"/>
                <w:sz w:val="21"/>
                <w:szCs w:val="21"/>
                <w:highlight w:val="none"/>
              </w:rPr>
              <w:t>得</w:t>
            </w:r>
            <w:r>
              <w:rPr>
                <w:rFonts w:hint="eastAsia" w:cs="Times New Roman" w:asciiTheme="majorEastAsia" w:hAnsiTheme="majorEastAsia" w:eastAsiaTheme="majorEastAsia"/>
                <w:color w:val="auto"/>
                <w:sz w:val="21"/>
                <w:szCs w:val="21"/>
                <w:highlight w:val="none"/>
                <w:lang w:val="en-US" w:eastAsia="zh-CN"/>
              </w:rPr>
              <w:t>4</w:t>
            </w:r>
            <w:r>
              <w:rPr>
                <w:rFonts w:hint="eastAsia" w:cs="Times New Roman" w:asciiTheme="majorEastAsia" w:hAnsiTheme="majorEastAsia" w:eastAsiaTheme="majorEastAsia"/>
                <w:color w:val="auto"/>
                <w:sz w:val="21"/>
                <w:szCs w:val="21"/>
                <w:highlight w:val="none"/>
              </w:rPr>
              <w:t>分，最高</w:t>
            </w:r>
            <w:r>
              <w:rPr>
                <w:rFonts w:hint="eastAsia" w:cs="Times New Roman" w:asciiTheme="majorEastAsia" w:hAnsiTheme="majorEastAsia" w:eastAsiaTheme="majorEastAsia"/>
                <w:color w:val="auto"/>
                <w:sz w:val="21"/>
                <w:szCs w:val="21"/>
                <w:highlight w:val="none"/>
                <w:lang w:val="en-US" w:eastAsia="zh-CN"/>
              </w:rPr>
              <w:t>20</w:t>
            </w:r>
            <w:r>
              <w:rPr>
                <w:rFonts w:hint="eastAsia" w:cs="Times New Roman" w:asciiTheme="majorEastAsia" w:hAnsiTheme="majorEastAsia" w:eastAsiaTheme="majorEastAsia"/>
                <w:color w:val="auto"/>
                <w:sz w:val="21"/>
                <w:szCs w:val="21"/>
                <w:highlight w:val="none"/>
              </w:rPr>
              <w:t>分。</w:t>
            </w:r>
            <w:r>
              <w:rPr>
                <w:rFonts w:hint="eastAsia" w:cs="Times New Roman" w:asciiTheme="majorEastAsia" w:hAnsiTheme="majorEastAsia" w:eastAsiaTheme="majorEastAsia"/>
                <w:color w:val="auto"/>
                <w:sz w:val="21"/>
                <w:szCs w:val="21"/>
                <w:highlight w:val="none"/>
                <w:lang w:val="en-US" w:eastAsia="zh-CN"/>
              </w:rPr>
              <w:t>提供合同复印件并加盖公章。</w:t>
            </w:r>
          </w:p>
        </w:tc>
      </w:tr>
    </w:tbl>
    <w:p>
      <w:pPr>
        <w:rPr>
          <w:rFonts w:hint="eastAsia" w:hAnsi="宋体" w:cs="宋体"/>
          <w:color w:val="auto"/>
          <w:sz w:val="24"/>
          <w:szCs w:val="24"/>
          <w:highlight w:val="none"/>
          <w:shd w:val="clear" w:color="auto" w:fill="auto"/>
        </w:rPr>
      </w:pPr>
    </w:p>
    <w:p>
      <w:pPr>
        <w:ind w:firstLine="480" w:firstLineChars="200"/>
        <w:rPr>
          <w:rFonts w:hint="eastAsia" w:hAnsi="宋体" w:cs="宋体"/>
          <w:color w:val="auto"/>
          <w:sz w:val="24"/>
          <w:szCs w:val="24"/>
          <w:highlight w:val="none"/>
          <w:shd w:val="clear" w:color="auto" w:fill="auto"/>
        </w:rPr>
      </w:pPr>
    </w:p>
    <w:p>
      <w:pPr>
        <w:ind w:firstLine="480" w:firstLineChars="200"/>
        <w:rPr>
          <w:rFonts w:ascii="宋体"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（二）</w:t>
      </w:r>
      <w:r>
        <w:rPr>
          <w:rFonts w:hint="eastAsia" w:ascii="宋体" w:hAnsi="宋体" w:cs="宋体"/>
          <w:color w:val="auto"/>
          <w:sz w:val="24"/>
          <w:szCs w:val="24"/>
          <w:highlight w:val="none"/>
          <w:shd w:val="clear" w:color="auto" w:fill="auto"/>
          <w:lang w:eastAsia="zh-CN"/>
        </w:rPr>
        <w:t>报价</w:t>
      </w:r>
      <w:r>
        <w:rPr>
          <w:rFonts w:hint="eastAsia" w:ascii="宋体" w:hAnsi="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val="en-US" w:eastAsia="zh-CN"/>
        </w:rPr>
        <w:t>30</w:t>
      </w:r>
      <w:r>
        <w:rPr>
          <w:rFonts w:hint="eastAsia" w:ascii="宋体" w:hAnsi="宋体" w:cs="宋体"/>
          <w:color w:val="auto"/>
          <w:sz w:val="24"/>
          <w:szCs w:val="24"/>
          <w:highlight w:val="none"/>
          <w:shd w:val="clear" w:color="auto" w:fill="auto"/>
        </w:rPr>
        <w:t>分）</w:t>
      </w:r>
    </w:p>
    <w:p>
      <w:pPr>
        <w:adjustRightInd w:val="0"/>
        <w:snapToGrid w:val="0"/>
        <w:spacing w:line="480" w:lineRule="exact"/>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w:t>
      </w:r>
      <w:r>
        <w:rPr>
          <w:rFonts w:hint="eastAsia" w:ascii="宋体" w:hAnsi="宋体" w:cs="宋体"/>
          <w:b/>
          <w:color w:val="auto"/>
          <w:sz w:val="24"/>
          <w:szCs w:val="24"/>
          <w:highlight w:val="none"/>
          <w:shd w:val="clear" w:color="auto" w:fill="auto"/>
        </w:rPr>
        <w:t>本次项目最高限价：</w:t>
      </w:r>
      <w:r>
        <w:rPr>
          <w:rFonts w:hint="eastAsia" w:ascii="宋体" w:hAnsi="宋体" w:cs="宋体"/>
          <w:b/>
          <w:color w:val="auto"/>
          <w:sz w:val="24"/>
          <w:szCs w:val="24"/>
          <w:highlight w:val="none"/>
          <w:u w:val="single"/>
          <w:shd w:val="clear" w:color="auto" w:fill="auto"/>
          <w:lang w:val="en-US" w:eastAsia="zh-CN"/>
        </w:rPr>
        <w:t>30万元</w:t>
      </w:r>
      <w:r>
        <w:rPr>
          <w:rFonts w:hint="eastAsia" w:ascii="宋体" w:hAnsi="宋体" w:cs="宋体"/>
          <w:b/>
          <w:color w:val="auto"/>
          <w:sz w:val="24"/>
          <w:szCs w:val="24"/>
          <w:highlight w:val="none"/>
          <w:shd w:val="clear" w:color="auto" w:fill="auto"/>
        </w:rPr>
        <w:t>，超过限价作无效响应处理</w:t>
      </w:r>
      <w:r>
        <w:rPr>
          <w:rFonts w:hint="eastAsia" w:ascii="宋体" w:hAnsi="宋体" w:cs="宋体"/>
          <w:color w:val="auto"/>
          <w:sz w:val="24"/>
          <w:szCs w:val="24"/>
          <w:highlight w:val="none"/>
          <w:shd w:val="clear" w:color="auto" w:fill="auto"/>
        </w:rPr>
        <w:t>。</w:t>
      </w:r>
    </w:p>
    <w:p>
      <w:pPr>
        <w:snapToGrid w:val="0"/>
        <w:spacing w:line="480" w:lineRule="exact"/>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2.满足磋商文件要求且最后报价最低的供应商的价格为磋商基准价，其</w:t>
      </w:r>
      <w:r>
        <w:rPr>
          <w:rFonts w:hint="eastAsia" w:ascii="宋体" w:hAnsi="宋体" w:cs="宋体"/>
          <w:color w:val="auto"/>
          <w:sz w:val="24"/>
          <w:szCs w:val="24"/>
          <w:highlight w:val="none"/>
          <w:shd w:val="clear" w:color="auto" w:fill="auto"/>
          <w:lang w:eastAsia="zh-CN"/>
        </w:rPr>
        <w:t>报价</w:t>
      </w:r>
      <w:r>
        <w:rPr>
          <w:rFonts w:hint="eastAsia" w:ascii="宋体" w:hAnsi="宋体" w:cs="宋体"/>
          <w:color w:val="auto"/>
          <w:sz w:val="24"/>
          <w:szCs w:val="24"/>
          <w:highlight w:val="none"/>
          <w:shd w:val="clear" w:color="auto" w:fill="auto"/>
        </w:rPr>
        <w:t>分为满分。其他供应商的</w:t>
      </w:r>
      <w:r>
        <w:rPr>
          <w:rFonts w:hint="eastAsia" w:ascii="宋体" w:hAnsi="宋体" w:cs="宋体"/>
          <w:color w:val="auto"/>
          <w:sz w:val="24"/>
          <w:szCs w:val="24"/>
          <w:highlight w:val="none"/>
          <w:shd w:val="clear" w:color="auto" w:fill="auto"/>
          <w:lang w:eastAsia="zh-CN"/>
        </w:rPr>
        <w:t>报价</w:t>
      </w:r>
      <w:r>
        <w:rPr>
          <w:rFonts w:hint="eastAsia" w:ascii="宋体" w:hAnsi="宋体" w:cs="宋体"/>
          <w:color w:val="auto"/>
          <w:sz w:val="24"/>
          <w:szCs w:val="24"/>
          <w:highlight w:val="none"/>
          <w:shd w:val="clear" w:color="auto" w:fill="auto"/>
        </w:rPr>
        <w:t>分统一按照下列公式计算：</w:t>
      </w:r>
    </w:p>
    <w:p>
      <w:pPr>
        <w:snapToGrid w:val="0"/>
        <w:spacing w:line="48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lang w:eastAsia="zh-CN"/>
        </w:rPr>
        <w:t>报价</w:t>
      </w:r>
      <w:r>
        <w:rPr>
          <w:rFonts w:hint="eastAsia" w:hAnsi="宋体" w:cs="宋体"/>
          <w:b/>
          <w:color w:val="auto"/>
          <w:sz w:val="24"/>
          <w:szCs w:val="24"/>
          <w:highlight w:val="none"/>
          <w:shd w:val="clear" w:color="auto" w:fill="auto"/>
        </w:rPr>
        <w:t>分 =（磋商基准价/最后磋商报价）×</w:t>
      </w:r>
      <w:r>
        <w:rPr>
          <w:rFonts w:hint="eastAsia" w:hAnsi="宋体" w:cs="宋体"/>
          <w:b/>
          <w:color w:val="auto"/>
          <w:sz w:val="24"/>
          <w:szCs w:val="24"/>
          <w:highlight w:val="none"/>
          <w:shd w:val="clear" w:color="auto" w:fill="auto"/>
          <w:lang w:val="en-US" w:eastAsia="zh-CN"/>
        </w:rPr>
        <w:t>30</w:t>
      </w:r>
      <w:r>
        <w:rPr>
          <w:rFonts w:hint="eastAsia" w:hAnsi="宋体" w:cs="宋体"/>
          <w:b/>
          <w:color w:val="auto"/>
          <w:sz w:val="24"/>
          <w:szCs w:val="24"/>
          <w:highlight w:val="none"/>
          <w:shd w:val="clear" w:color="auto" w:fill="auto"/>
        </w:rPr>
        <w:t>%×100</w:t>
      </w:r>
    </w:p>
    <w:p>
      <w:pPr>
        <w:snapToGrid w:val="0"/>
        <w:spacing w:line="48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六、出现下列情形之一的，作无效响应处理</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rPr>
        <w:t>1.响应文件未按规定要求密封、签署、盖章及主要资料不齐全的；</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rPr>
        <w:t>2.响应文件的资料有虚报或者谎报的；</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rPr>
        <w:t>3.响应文件中资格审查文件及</w:t>
      </w:r>
      <w:r>
        <w:rPr>
          <w:rFonts w:hint="eastAsia" w:hAnsi="宋体" w:eastAsia="宋体" w:cs="宋体"/>
          <w:color w:val="auto"/>
          <w:sz w:val="24"/>
          <w:szCs w:val="24"/>
          <w:highlight w:val="none"/>
          <w:shd w:val="clear" w:color="auto" w:fill="auto"/>
          <w:lang w:val="en-US" w:eastAsia="zh-CN"/>
        </w:rPr>
        <w:t>商务</w:t>
      </w:r>
      <w:r>
        <w:rPr>
          <w:rFonts w:hint="eastAsia" w:hAnsi="宋体" w:eastAsia="宋体" w:cs="宋体"/>
          <w:color w:val="auto"/>
          <w:sz w:val="24"/>
          <w:szCs w:val="24"/>
          <w:highlight w:val="none"/>
          <w:shd w:val="clear" w:color="auto" w:fill="auto"/>
        </w:rPr>
        <w:t>技术响应文件出现磋商报价的内容；</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rPr>
        <w:t>4.不具备磋商文件规定的资格要求的；</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rPr>
        <w:t>5.响应文件有重大漏项或重大不合理的；</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rPr>
        <w:t>6.项目技术、方案不满足</w:t>
      </w:r>
      <w:r>
        <w:rPr>
          <w:rFonts w:hint="eastAsia" w:hAnsi="宋体" w:eastAsia="宋体" w:cs="宋体"/>
          <w:color w:val="auto"/>
          <w:sz w:val="24"/>
          <w:szCs w:val="24"/>
          <w:highlight w:val="none"/>
          <w:shd w:val="clear" w:color="auto" w:fill="auto"/>
          <w:lang w:val="en-US" w:eastAsia="zh-CN"/>
        </w:rPr>
        <w:t>项目需求</w:t>
      </w:r>
      <w:r>
        <w:rPr>
          <w:rFonts w:hint="eastAsia" w:hAnsi="宋体" w:eastAsia="宋体" w:cs="宋体"/>
          <w:color w:val="auto"/>
          <w:sz w:val="24"/>
          <w:szCs w:val="24"/>
          <w:highlight w:val="none"/>
          <w:shd w:val="clear" w:color="auto" w:fill="auto"/>
        </w:rPr>
        <w:t>中的要求，有重大偏离或保留的；</w:t>
      </w:r>
    </w:p>
    <w:p>
      <w:pPr>
        <w:snapToGrid w:val="0"/>
        <w:spacing w:line="480" w:lineRule="exact"/>
        <w:ind w:firstLine="480" w:firstLineChars="200"/>
        <w:rPr>
          <w:rFonts w:hint="eastAsia" w:hAnsi="宋体" w:eastAsia="宋体" w:cs="宋体"/>
          <w:color w:val="auto"/>
          <w:sz w:val="24"/>
          <w:szCs w:val="24"/>
          <w:highlight w:val="none"/>
          <w:shd w:val="clear" w:color="auto" w:fill="auto"/>
          <w:lang w:eastAsia="zh-CN"/>
        </w:rPr>
      </w:pPr>
      <w:r>
        <w:rPr>
          <w:rFonts w:hint="eastAsia" w:hAnsi="宋体" w:eastAsia="宋体" w:cs="宋体"/>
          <w:color w:val="auto"/>
          <w:sz w:val="24"/>
          <w:szCs w:val="24"/>
          <w:highlight w:val="none"/>
          <w:shd w:val="clear" w:color="auto" w:fill="auto"/>
          <w:lang w:val="en-US" w:eastAsia="zh-CN"/>
        </w:rPr>
        <w:t>7.</w:t>
      </w:r>
      <w:r>
        <w:rPr>
          <w:rFonts w:hint="eastAsia" w:hAnsi="宋体" w:eastAsia="宋体" w:cs="宋体"/>
          <w:color w:val="auto"/>
          <w:sz w:val="24"/>
          <w:szCs w:val="24"/>
          <w:highlight w:val="none"/>
          <w:shd w:val="clear" w:color="auto" w:fill="auto"/>
          <w:lang w:eastAsia="zh-CN"/>
        </w:rPr>
        <w:t>供应商的商务技术部分得分相差悬殊，</w:t>
      </w:r>
      <w:r>
        <w:rPr>
          <w:rFonts w:hint="eastAsia" w:hAnsi="宋体" w:eastAsia="宋体" w:cs="宋体"/>
          <w:color w:val="auto"/>
          <w:sz w:val="24"/>
          <w:szCs w:val="24"/>
          <w:highlight w:val="none"/>
          <w:shd w:val="clear" w:color="auto" w:fill="auto"/>
          <w:lang w:val="en-US" w:eastAsia="zh-CN"/>
        </w:rPr>
        <w:t>磋商小组</w:t>
      </w:r>
      <w:r>
        <w:rPr>
          <w:rFonts w:hint="eastAsia" w:hAnsi="宋体" w:eastAsia="宋体" w:cs="宋体"/>
          <w:color w:val="auto"/>
          <w:sz w:val="24"/>
          <w:szCs w:val="24"/>
          <w:highlight w:val="none"/>
          <w:shd w:val="clear" w:color="auto" w:fill="auto"/>
          <w:lang w:eastAsia="zh-CN"/>
        </w:rPr>
        <w:t>一致认为得分畸低者没有实质性响应的。</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lang w:val="en-US" w:eastAsia="zh-CN"/>
        </w:rPr>
        <w:t>8</w:t>
      </w:r>
      <w:r>
        <w:rPr>
          <w:rFonts w:hint="eastAsia" w:hAnsi="宋体" w:eastAsia="宋体" w:cs="宋体"/>
          <w:color w:val="auto"/>
          <w:sz w:val="24"/>
          <w:szCs w:val="24"/>
          <w:highlight w:val="none"/>
          <w:shd w:val="clear" w:color="auto" w:fill="auto"/>
        </w:rPr>
        <w:t>.磋商响应报价超出项目预算的；</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lang w:val="en-US" w:eastAsia="zh-CN"/>
        </w:rPr>
        <w:t>9</w:t>
      </w:r>
      <w:r>
        <w:rPr>
          <w:rFonts w:hint="eastAsia" w:hAnsi="宋体" w:eastAsia="宋体" w:cs="宋体"/>
          <w:color w:val="auto"/>
          <w:sz w:val="24"/>
          <w:szCs w:val="24"/>
          <w:highlight w:val="none"/>
          <w:shd w:val="clear" w:color="auto" w:fill="auto"/>
        </w:rPr>
        <w:t>.被认定为低于成本报价磋商竞标的；</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lang w:val="en-US" w:eastAsia="zh-CN"/>
        </w:rPr>
        <w:t>10</w:t>
      </w:r>
      <w:r>
        <w:rPr>
          <w:rFonts w:hint="eastAsia" w:hAnsi="宋体" w:eastAsia="宋体" w:cs="宋体"/>
          <w:color w:val="auto"/>
          <w:sz w:val="24"/>
          <w:szCs w:val="24"/>
          <w:highlight w:val="none"/>
          <w:shd w:val="clear" w:color="auto" w:fill="auto"/>
        </w:rPr>
        <w:t>.供应商的磋商报价高于自己前一轮的；</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lang w:val="en-US" w:eastAsia="zh-CN"/>
        </w:rPr>
        <w:t>11</w:t>
      </w:r>
      <w:r>
        <w:rPr>
          <w:rFonts w:hint="eastAsia" w:hAnsi="宋体" w:eastAsia="宋体" w:cs="宋体"/>
          <w:color w:val="auto"/>
          <w:sz w:val="24"/>
          <w:szCs w:val="24"/>
          <w:highlight w:val="none"/>
          <w:shd w:val="clear" w:color="auto" w:fill="auto"/>
        </w:rPr>
        <w:t>.不符合法律、法规和磋商文件中规定的其他实质性响应要求的；</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lang w:val="en-US" w:eastAsia="zh-CN"/>
        </w:rPr>
        <w:t>12</w:t>
      </w:r>
      <w:r>
        <w:rPr>
          <w:rFonts w:hint="eastAsia" w:hAnsi="宋体" w:eastAsia="宋体" w:cs="宋体"/>
          <w:color w:val="auto"/>
          <w:sz w:val="24"/>
          <w:szCs w:val="24"/>
          <w:highlight w:val="none"/>
          <w:shd w:val="clear" w:color="auto" w:fill="auto"/>
        </w:rPr>
        <w:t>.磋商小组依据法律法规可以认定为无效响应的其他情况。</w:t>
      </w:r>
    </w:p>
    <w:p>
      <w:pPr>
        <w:snapToGrid w:val="0"/>
        <w:spacing w:line="48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七、出现下列情形之一的，作废标处理</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1.供应商的报价均超出了采购预算，采购人不能支付的；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2.因情况变化，不再符合规定的竞争性磋商采购方式所适用情形的；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3.出现影响采购公正的违法、违规行为的；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4.因重大变故，采购任务取消的；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5.磋商小组依据法律法规可以认定为废标的其他情况。</w:t>
      </w:r>
    </w:p>
    <w:p>
      <w:pPr>
        <w:snapToGrid w:val="0"/>
        <w:spacing w:line="48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八、成交通知</w:t>
      </w:r>
    </w:p>
    <w:p>
      <w:pPr>
        <w:spacing w:line="480" w:lineRule="exact"/>
        <w:ind w:firstLine="484" w:firstLineChars="202"/>
        <w:rPr>
          <w:rFonts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成交结果在</w:t>
      </w:r>
      <w:r>
        <w:rPr>
          <w:rFonts w:hint="eastAsia" w:hAnsi="宋体" w:cs="宋体"/>
          <w:color w:val="auto"/>
          <w:sz w:val="24"/>
          <w:szCs w:val="24"/>
          <w:highlight w:val="none"/>
          <w:shd w:val="clear" w:color="auto" w:fill="auto"/>
          <w:lang w:eastAsia="zh-CN"/>
        </w:rPr>
        <w:t>“南通市文化广电和旅游局-政府采购栏”“南通博物苑-资讯-招标信息栏”</w:t>
      </w:r>
      <w:r>
        <w:rPr>
          <w:rFonts w:hint="eastAsia" w:hAnsi="宋体" w:cs="宋体"/>
          <w:color w:val="auto"/>
          <w:kern w:val="0"/>
          <w:sz w:val="24"/>
          <w:szCs w:val="24"/>
          <w:highlight w:val="none"/>
          <w:shd w:val="clear" w:color="auto" w:fill="auto"/>
        </w:rPr>
        <w:t>公示1个工作日。《成交通知书》一经发出，采购人改变成交结果，或者成交供应商放弃成交的，各自承担相应的法律责任。《成交通知书》是采购合同的组成部分。</w:t>
      </w:r>
    </w:p>
    <w:p>
      <w:pPr>
        <w:pStyle w:val="12"/>
        <w:tabs>
          <w:tab w:val="left" w:pos="1050"/>
          <w:tab w:val="right" w:leader="dot" w:pos="9402"/>
        </w:tabs>
        <w:spacing w:line="520" w:lineRule="exact"/>
        <w:ind w:left="0" w:leftChars="0"/>
        <w:jc w:val="center"/>
        <w:outlineLvl w:val="0"/>
        <w:rPr>
          <w:rFonts w:hAnsi="宋体" w:cs="宋体"/>
          <w:b/>
          <w:iCs/>
          <w:color w:val="auto"/>
          <w:w w:val="80"/>
          <w:sz w:val="44"/>
          <w:szCs w:val="44"/>
          <w:highlight w:val="none"/>
          <w:shd w:val="clear" w:color="auto" w:fill="auto"/>
        </w:rPr>
      </w:pPr>
      <w:r>
        <w:rPr>
          <w:rFonts w:hint="eastAsia" w:hAnsi="宋体"/>
          <w:b/>
          <w:color w:val="auto"/>
          <w:w w:val="80"/>
          <w:kern w:val="44"/>
          <w:sz w:val="44"/>
          <w:szCs w:val="44"/>
          <w:highlight w:val="none"/>
          <w:shd w:val="clear" w:color="auto" w:fill="auto"/>
        </w:rPr>
        <w:br w:type="page"/>
      </w:r>
      <w:r>
        <w:rPr>
          <w:rFonts w:hint="eastAsia" w:hAnsi="宋体" w:cs="宋体"/>
          <w:b/>
          <w:iCs/>
          <w:color w:val="auto"/>
          <w:w w:val="80"/>
          <w:sz w:val="44"/>
          <w:szCs w:val="44"/>
          <w:highlight w:val="none"/>
          <w:shd w:val="clear" w:color="auto" w:fill="auto"/>
        </w:rPr>
        <w:t>第五章   合同授予</w:t>
      </w:r>
    </w:p>
    <w:p>
      <w:pPr>
        <w:spacing w:line="520" w:lineRule="exact"/>
        <w:ind w:firstLine="484" w:firstLineChars="202"/>
        <w:rPr>
          <w:rFonts w:hAnsi="宋体" w:cs="宋体"/>
          <w:color w:val="auto"/>
          <w:kern w:val="0"/>
          <w:sz w:val="28"/>
          <w:szCs w:val="28"/>
          <w:highlight w:val="none"/>
          <w:shd w:val="clear" w:color="auto" w:fill="auto"/>
        </w:rPr>
      </w:pPr>
      <w:r>
        <w:rPr>
          <w:rFonts w:hint="eastAsia" w:hAnsi="宋体" w:cs="宋体"/>
          <w:color w:val="auto"/>
          <w:sz w:val="24"/>
          <w:szCs w:val="24"/>
          <w:highlight w:val="none"/>
          <w:shd w:val="clear" w:color="auto" w:fill="auto"/>
        </w:rPr>
        <w:t>一、</w:t>
      </w:r>
      <w:r>
        <w:rPr>
          <w:rFonts w:hint="eastAsia" w:hAnsi="宋体" w:cs="宋体"/>
          <w:color w:val="auto"/>
          <w:kern w:val="0"/>
          <w:sz w:val="24"/>
          <w:szCs w:val="24"/>
          <w:highlight w:val="none"/>
          <w:shd w:val="clear" w:color="auto" w:fill="auto"/>
        </w:rPr>
        <w:t>成交供应商在《成交通知书》发出</w:t>
      </w:r>
      <w:r>
        <w:rPr>
          <w:rFonts w:hint="eastAsia" w:hAnsi="宋体" w:cs="宋体"/>
          <w:color w:val="auto"/>
          <w:sz w:val="24"/>
          <w:szCs w:val="24"/>
          <w:highlight w:val="none"/>
          <w:shd w:val="clear" w:color="auto" w:fill="auto"/>
        </w:rPr>
        <w:t>30天内</w:t>
      </w:r>
      <w:r>
        <w:rPr>
          <w:rFonts w:hint="eastAsia" w:hAnsi="宋体" w:cs="宋体"/>
          <w:color w:val="auto"/>
          <w:kern w:val="0"/>
          <w:sz w:val="24"/>
          <w:szCs w:val="24"/>
          <w:highlight w:val="none"/>
          <w:shd w:val="clear" w:color="auto" w:fill="auto"/>
        </w:rPr>
        <w:t xml:space="preserve">须按照磋商文件确定的事项签订采购合同。合同一式六份，采购人四份、供应商两份。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二、采购人按合同约定积极配合成交供应商履约，成交供应商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57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四、成交供应商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五、不响应付款方式的，视同响应文件无效，按无效响应文件处理。</w:t>
      </w:r>
    </w:p>
    <w:p>
      <w:pPr>
        <w:snapToGrid w:val="0"/>
        <w:spacing w:line="480" w:lineRule="exact"/>
        <w:ind w:firstLine="57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六、付款方式详见磋商文件第三章。</w:t>
      </w:r>
    </w:p>
    <w:p>
      <w:pPr>
        <w:snapToGrid w:val="0"/>
        <w:spacing w:line="480" w:lineRule="exact"/>
        <w:ind w:firstLine="57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七、以上项目款的支付不计息。</w:t>
      </w:r>
    </w:p>
    <w:p>
      <w:pPr>
        <w:snapToGrid w:val="0"/>
        <w:spacing w:line="520" w:lineRule="exact"/>
        <w:ind w:firstLine="573"/>
        <w:jc w:val="center"/>
        <w:rPr>
          <w:rFonts w:hAnsi="宋体" w:cs="宋体"/>
          <w:color w:val="auto"/>
          <w:kern w:val="0"/>
          <w:sz w:val="28"/>
          <w:szCs w:val="28"/>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color w:val="auto"/>
          <w:sz w:val="28"/>
          <w:szCs w:val="28"/>
          <w:highlight w:val="none"/>
          <w:shd w:val="clear" w:color="auto" w:fill="auto"/>
        </w:rPr>
      </w:pPr>
      <w:r>
        <w:rPr>
          <w:rFonts w:hAnsi="宋体"/>
          <w:b/>
          <w:color w:val="auto"/>
          <w:w w:val="80"/>
          <w:kern w:val="44"/>
          <w:sz w:val="44"/>
          <w:szCs w:val="44"/>
          <w:highlight w:val="none"/>
          <w:shd w:val="clear" w:color="auto" w:fill="auto"/>
        </w:rPr>
        <w:br w:type="page"/>
      </w:r>
      <w:r>
        <w:rPr>
          <w:rFonts w:hAnsi="宋体"/>
          <w:b/>
          <w:color w:val="auto"/>
          <w:w w:val="80"/>
          <w:kern w:val="44"/>
          <w:sz w:val="44"/>
          <w:szCs w:val="44"/>
          <w:highlight w:val="none"/>
          <w:shd w:val="clear" w:color="auto" w:fill="auto"/>
        </w:rPr>
        <w:t>第</w:t>
      </w:r>
      <w:r>
        <w:rPr>
          <w:rFonts w:hint="eastAsia" w:hAnsi="宋体"/>
          <w:b/>
          <w:color w:val="auto"/>
          <w:w w:val="80"/>
          <w:kern w:val="44"/>
          <w:sz w:val="44"/>
          <w:szCs w:val="44"/>
          <w:highlight w:val="none"/>
          <w:shd w:val="clear" w:color="auto" w:fill="auto"/>
        </w:rPr>
        <w:t>六</w:t>
      </w:r>
      <w:r>
        <w:rPr>
          <w:rFonts w:hAnsi="宋体"/>
          <w:b/>
          <w:color w:val="auto"/>
          <w:w w:val="80"/>
          <w:kern w:val="44"/>
          <w:sz w:val="44"/>
          <w:szCs w:val="44"/>
          <w:highlight w:val="none"/>
          <w:shd w:val="clear" w:color="auto" w:fill="auto"/>
        </w:rPr>
        <w:t xml:space="preserve">章 </w:t>
      </w:r>
      <w:r>
        <w:rPr>
          <w:rFonts w:hint="eastAsia" w:hAnsi="宋体"/>
          <w:b/>
          <w:color w:val="auto"/>
          <w:w w:val="80"/>
          <w:kern w:val="44"/>
          <w:sz w:val="44"/>
          <w:szCs w:val="44"/>
          <w:highlight w:val="none"/>
          <w:shd w:val="clear" w:color="auto" w:fill="auto"/>
        </w:rPr>
        <w:t xml:space="preserve"> 质疑提出和处理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一、质疑的提出</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1.质疑人必须是直接参加本次磋商活动的当事人。</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2.获取磋商文件的供应商应根据第二章“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  </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提出质疑时，必须坚持“谁主张，谁举证”“实事求是”的原则，不能臆测。属于须由法定部门调查、侦查或先行作出相关认定的事项，质疑人应当依法申请具有法定职权的部门查清、认定，并将相关结果提供给采购人或采购代理机构。采购人或采购代理机构不具有法定调查、认定权限。</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对本次招标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对不能提供相关佐证材料的、涉及商业秘密的、非书面形式的、非送达的、匿名的《质疑函》将不予受理。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相关佐证材料要具备客观性、关联性、合法性，无法查实的（如宣传册、媒体报道、猜测、推理等）不能作为佐证材料。</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采购人或采购代理机构不负责搜集相关佐证材料等工作。</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二、《质疑函》的受理和回复</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1.《质疑函》须由质疑人的法定代表人或参加本次磋商被授权人送达采购人和采购代理机构。</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对符合提出质疑要求的，采购人、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4.采购人、采购代理机构负责将质疑人提出的质疑相关材料提供给相关专家或评审小组审核，并将审核意见回复质疑人。</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5.因质疑情况复杂，组织论证或审查时间较长的，采购人、采购代理机构以书面形式通知质疑人，可适当延长质疑回复处理时间。</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三、质疑处理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1.质疑成立的处理。采购人或采购代理机构终止采购，并建议有关部门给相关当事人予以处理。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2.质疑不成立的处理。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1）质疑人书面《申请撤回质疑函》的，不作违约处理。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2）质疑人在规定的时间内不配合进行质疑调查处理的，按自动撤回《质疑函》处理。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3）质疑人不按《质疑函》格式就提出质疑的，作违约处理。同时，视情列入不良供应商名单。</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4）质疑人虽提供了相关佐证材料，但不能证明其质疑成立的，采购人或采购代理机构请质疑人补充相关佐证材料，仍不能证明其质疑成立的，作违约处理。并将其列入不良供应商名单。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5）质疑人不能提供相关佐证材料的，采购人、采购代理机构已指出，质疑人仍然坚持提出质疑的，作违约处理。同时，列入不良供应商名单。</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对明显有违事实的、经相关专家或评审小组认定无依据的、经其他供应商举证无依据的质疑，作违约处理，列入不良供应商名单；同时，对其中每一项不成立的质疑给予质疑人1年内禁入本区域内的采购活动的违约处理，依次类推；视情在相关媒体予以披露。</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7）质疑人承担使用虚假材料或恶意方式质疑的法律责任。</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四、无佐证材料的举报作违约处理。供应商不得进行不提供相关佐证材料（含无法查实的如宣传册、媒体报道、猜测、推理等）向有关部门的举报，否则作违约处理。同时对其在1至3年内禁入由采购人组织的采购活动的违约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五、投诉不成立的作违约处理。供应商进行质疑后，采购人回复质疑不成立，供应商仍进行投诉的，并最终投诉不成立的，作违约处理。采购人有权对其在1至3年内禁入由采购人组织的采购活动的违约处理。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六、《质疑函》《质疑回复函》，质疑、举报、投诉不成立的等相关情况，视情在相关媒体予以披露。并建议相关机构对该供应商同步实施1至3年内禁入。</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七、质疑供应商对采购人或代理机构的答复不满意或者采购人或代理机构未在规定的时间内作出答复的，可以在答复期满后15个工作日内向监督管理部门投诉。</w:t>
      </w:r>
    </w:p>
    <w:p>
      <w:pPr>
        <w:spacing w:line="500" w:lineRule="exact"/>
        <w:ind w:firstLine="480" w:firstLineChars="200"/>
        <w:rPr>
          <w:rFonts w:hAnsi="宋体"/>
          <w:bCs/>
          <w:color w:val="auto"/>
          <w:sz w:val="24"/>
          <w:szCs w:val="24"/>
          <w:highlight w:val="none"/>
          <w:shd w:val="clear" w:color="auto" w:fill="auto"/>
        </w:rPr>
      </w:pPr>
    </w:p>
    <w:p>
      <w:pPr>
        <w:pStyle w:val="3"/>
        <w:keepNext w:val="0"/>
        <w:keepLines w:val="0"/>
        <w:adjustRightInd w:val="0"/>
        <w:snapToGrid w:val="0"/>
        <w:spacing w:before="0" w:after="0" w:line="800" w:lineRule="exact"/>
        <w:jc w:val="center"/>
        <w:textAlignment w:val="baseline"/>
        <w:rPr>
          <w:rFonts w:ascii="宋体" w:hAnsi="宋体" w:eastAsia="宋体"/>
          <w:color w:val="auto"/>
          <w:w w:val="80"/>
          <w:szCs w:val="44"/>
          <w:highlight w:val="none"/>
          <w:shd w:val="clear" w:color="auto" w:fill="auto"/>
        </w:rPr>
      </w:pPr>
      <w:r>
        <w:rPr>
          <w:rFonts w:ascii="宋体" w:hAnsi="宋体" w:eastAsia="宋体"/>
          <w:color w:val="auto"/>
          <w:w w:val="80"/>
          <w:szCs w:val="44"/>
          <w:highlight w:val="none"/>
          <w:shd w:val="clear" w:color="auto" w:fill="auto"/>
        </w:rPr>
        <w:br w:type="page"/>
      </w:r>
      <w:r>
        <w:rPr>
          <w:rFonts w:hint="eastAsia" w:ascii="宋体" w:hAnsi="宋体" w:eastAsia="宋体"/>
          <w:color w:val="auto"/>
          <w:w w:val="80"/>
          <w:szCs w:val="44"/>
          <w:highlight w:val="none"/>
          <w:shd w:val="clear" w:color="auto" w:fill="auto"/>
        </w:rPr>
        <w:t>第七章  响应文件组成及格式</w:t>
      </w:r>
    </w:p>
    <w:p>
      <w:pPr>
        <w:adjustRightInd w:val="0"/>
        <w:snapToGrid w:val="0"/>
        <w:spacing w:line="480" w:lineRule="exact"/>
        <w:ind w:firstLine="487" w:firstLineChars="202"/>
        <w:jc w:val="left"/>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响应文件由资格审查文件、</w:t>
      </w:r>
      <w:r>
        <w:rPr>
          <w:rFonts w:hint="eastAsia" w:hAnsi="宋体" w:cs="宋体"/>
          <w:b/>
          <w:bCs/>
          <w:color w:val="auto"/>
          <w:sz w:val="24"/>
          <w:szCs w:val="24"/>
          <w:highlight w:val="none"/>
          <w:shd w:val="clear" w:color="auto" w:fill="auto"/>
          <w:lang w:val="en-US" w:eastAsia="zh-CN"/>
        </w:rPr>
        <w:t>商务</w:t>
      </w:r>
      <w:r>
        <w:rPr>
          <w:rFonts w:hint="eastAsia" w:hAnsi="宋体" w:cs="宋体"/>
          <w:b/>
          <w:bCs/>
          <w:color w:val="auto"/>
          <w:sz w:val="24"/>
          <w:szCs w:val="24"/>
          <w:highlight w:val="none"/>
          <w:shd w:val="clear" w:color="auto" w:fill="auto"/>
        </w:rPr>
        <w:t>技术响应文件、</w:t>
      </w:r>
      <w:r>
        <w:rPr>
          <w:rFonts w:hint="eastAsia" w:hAnsi="宋体" w:cs="宋体"/>
          <w:b/>
          <w:bCs/>
          <w:color w:val="auto"/>
          <w:sz w:val="24"/>
          <w:szCs w:val="24"/>
          <w:highlight w:val="none"/>
          <w:shd w:val="clear" w:color="auto" w:fill="auto"/>
          <w:lang w:eastAsia="zh-CN"/>
        </w:rPr>
        <w:t>报价响应文件</w:t>
      </w:r>
      <w:r>
        <w:rPr>
          <w:rFonts w:hint="eastAsia" w:ascii="宋体" w:hAnsi="宋体" w:cs="宋体"/>
          <w:b/>
          <w:bCs/>
          <w:color w:val="auto"/>
          <w:sz w:val="24"/>
          <w:szCs w:val="24"/>
          <w:highlight w:val="none"/>
          <w:shd w:val="clear" w:color="auto" w:fill="auto"/>
        </w:rPr>
        <w:t>、响应文件电子版四部分组成</w:t>
      </w:r>
      <w:r>
        <w:rPr>
          <w:rFonts w:hint="eastAsia" w:hAnsi="宋体" w:cs="宋体"/>
          <w:b/>
          <w:bCs/>
          <w:color w:val="auto"/>
          <w:sz w:val="24"/>
          <w:szCs w:val="24"/>
          <w:highlight w:val="none"/>
          <w:shd w:val="clear" w:color="auto" w:fill="auto"/>
        </w:rPr>
        <w:t xml:space="preserve">。本次竞争性磋商采用资格后审方式，供应商须将资格审查文件作为响应文件组成部分，按磋商文件要求装订密封后一起递交。 </w:t>
      </w:r>
    </w:p>
    <w:p>
      <w:pPr>
        <w:adjustRightInd w:val="0"/>
        <w:snapToGrid w:val="0"/>
        <w:spacing w:line="480" w:lineRule="exact"/>
        <w:ind w:firstLine="487" w:firstLineChars="202"/>
        <w:jc w:val="left"/>
        <w:outlineLvl w:val="1"/>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一、资格审查文件（单独密封）：</w:t>
      </w:r>
    </w:p>
    <w:p>
      <w:pPr>
        <w:spacing w:line="480" w:lineRule="exact"/>
        <w:ind w:firstLine="480" w:firstLineChars="200"/>
        <w:rPr>
          <w:rFonts w:hAnsi="宋体"/>
          <w:color w:val="auto"/>
          <w:sz w:val="24"/>
          <w:szCs w:val="24"/>
          <w:highlight w:val="none"/>
          <w:shd w:val="clear" w:color="auto" w:fill="auto"/>
        </w:rPr>
      </w:pPr>
      <w:r>
        <w:rPr>
          <w:rFonts w:hint="eastAsia" w:hAnsi="宋体"/>
          <w:color w:val="auto"/>
          <w:sz w:val="24"/>
          <w:szCs w:val="24"/>
          <w:highlight w:val="none"/>
          <w:shd w:val="clear" w:color="auto" w:fill="auto"/>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提供证明材料或承诺函，承诺函格式自拟）。</w:t>
      </w:r>
    </w:p>
    <w:p>
      <w:pPr>
        <w:spacing w:line="480" w:lineRule="exact"/>
        <w:ind w:firstLine="480" w:firstLineChars="200"/>
        <w:rPr>
          <w:rFonts w:hAnsi="宋体"/>
          <w:color w:val="auto"/>
          <w:sz w:val="24"/>
          <w:szCs w:val="24"/>
          <w:highlight w:val="none"/>
          <w:shd w:val="clear" w:color="auto" w:fill="auto"/>
        </w:rPr>
      </w:pPr>
      <w:r>
        <w:rPr>
          <w:rFonts w:hint="eastAsia" w:hAnsi="宋体"/>
          <w:color w:val="auto"/>
          <w:sz w:val="24"/>
          <w:szCs w:val="24"/>
          <w:highlight w:val="none"/>
          <w:shd w:val="clear" w:color="auto" w:fill="auto"/>
        </w:rPr>
        <w:t>2.供应商提供有效的营业执照等具有独立承担民事责任能力的证明材料复印件。</w:t>
      </w:r>
    </w:p>
    <w:p>
      <w:pPr>
        <w:spacing w:line="480" w:lineRule="exact"/>
        <w:ind w:firstLine="480" w:firstLineChars="200"/>
        <w:rPr>
          <w:rFonts w:hint="eastAsia" w:hAnsi="宋体"/>
          <w:color w:val="auto"/>
          <w:sz w:val="24"/>
          <w:szCs w:val="24"/>
          <w:highlight w:val="none"/>
          <w:shd w:val="clear" w:color="auto" w:fill="auto"/>
        </w:rPr>
      </w:pPr>
      <w:r>
        <w:rPr>
          <w:rFonts w:hint="eastAsia" w:hAnsi="宋体"/>
          <w:color w:val="auto"/>
          <w:sz w:val="24"/>
          <w:szCs w:val="24"/>
          <w:highlight w:val="none"/>
          <w:shd w:val="clear" w:color="auto" w:fill="auto"/>
        </w:rPr>
        <w:t>3.供应商法定代表人参加磋商的，必须提供法定代表人身份证明及法定代表人本人身份证复印件；非法定代表人参加磋商的，必须提供法定代表人签字或盖章的授权委托书及法定代表人、被授权人的两人身份证的复印件。</w:t>
      </w:r>
    </w:p>
    <w:p>
      <w:pPr>
        <w:spacing w:line="480" w:lineRule="exact"/>
        <w:ind w:firstLine="480" w:firstLineChars="200"/>
        <w:rPr>
          <w:rFonts w:hAnsi="宋体"/>
          <w:color w:val="auto"/>
          <w:sz w:val="24"/>
          <w:szCs w:val="24"/>
          <w:highlight w:val="none"/>
          <w:shd w:val="clear" w:color="auto" w:fill="auto"/>
        </w:rPr>
      </w:pPr>
      <w:r>
        <w:rPr>
          <w:rFonts w:hint="eastAsia" w:hAnsi="宋体"/>
          <w:color w:val="auto"/>
          <w:sz w:val="24"/>
          <w:szCs w:val="24"/>
          <w:highlight w:val="none"/>
          <w:shd w:val="clear" w:color="auto" w:fill="auto"/>
          <w:lang w:val="en-US" w:eastAsia="zh-CN"/>
        </w:rPr>
        <w:t>4.</w:t>
      </w:r>
      <w:r>
        <w:rPr>
          <w:rFonts w:hint="eastAsia" w:hAnsi="宋体"/>
          <w:color w:val="auto"/>
          <w:sz w:val="24"/>
          <w:szCs w:val="24"/>
          <w:highlight w:val="none"/>
          <w:shd w:val="clear" w:color="auto" w:fill="auto"/>
        </w:rPr>
        <w:t>供应商须提供参与本次项目采购活动前三年内，在经营活动中没有重大违法记录的书面《无重大违法记录声明函》（</w:t>
      </w:r>
      <w:r>
        <w:rPr>
          <w:rFonts w:hint="eastAsia" w:hAnsi="宋体"/>
          <w:color w:val="auto"/>
          <w:sz w:val="24"/>
          <w:szCs w:val="24"/>
          <w:highlight w:val="none"/>
          <w:shd w:val="clear" w:color="auto" w:fill="auto"/>
          <w:lang w:eastAsia="zh-CN"/>
        </w:rPr>
        <w:t>格式参见附件</w:t>
      </w:r>
      <w:r>
        <w:rPr>
          <w:rFonts w:hint="eastAsia" w:hAnsi="宋体"/>
          <w:color w:val="auto"/>
          <w:sz w:val="24"/>
          <w:szCs w:val="24"/>
          <w:highlight w:val="none"/>
          <w:shd w:val="clear" w:color="auto" w:fill="auto"/>
        </w:rPr>
        <w:t>）。</w:t>
      </w:r>
    </w:p>
    <w:p>
      <w:pPr>
        <w:spacing w:line="480" w:lineRule="exact"/>
        <w:ind w:firstLine="480" w:firstLineChars="200"/>
        <w:rPr>
          <w:rFonts w:hAnsi="宋体"/>
          <w:color w:val="auto"/>
          <w:sz w:val="24"/>
          <w:szCs w:val="24"/>
          <w:highlight w:val="none"/>
          <w:shd w:val="clear" w:color="auto" w:fill="auto"/>
        </w:rPr>
      </w:pPr>
      <w:r>
        <w:rPr>
          <w:rFonts w:hint="eastAsia" w:hAnsi="宋体"/>
          <w:color w:val="auto"/>
          <w:sz w:val="24"/>
          <w:szCs w:val="24"/>
          <w:highlight w:val="none"/>
          <w:shd w:val="clear" w:color="auto" w:fill="auto"/>
          <w:lang w:val="en-US" w:eastAsia="zh-CN"/>
        </w:rPr>
        <w:t>5</w:t>
      </w:r>
      <w:r>
        <w:rPr>
          <w:rFonts w:hint="eastAsia" w:hAnsi="宋体"/>
          <w:color w:val="auto"/>
          <w:sz w:val="24"/>
          <w:szCs w:val="24"/>
          <w:highlight w:val="none"/>
          <w:shd w:val="clear" w:color="auto" w:fill="auto"/>
        </w:rPr>
        <w:t>.关于资格文件的声明函（</w:t>
      </w:r>
      <w:r>
        <w:rPr>
          <w:rFonts w:hint="eastAsia" w:hAnsi="宋体"/>
          <w:color w:val="auto"/>
          <w:sz w:val="24"/>
          <w:szCs w:val="24"/>
          <w:highlight w:val="none"/>
          <w:shd w:val="clear" w:color="auto" w:fill="auto"/>
          <w:lang w:eastAsia="zh-CN"/>
        </w:rPr>
        <w:t>格式参见附件</w:t>
      </w:r>
      <w:r>
        <w:rPr>
          <w:rFonts w:hint="eastAsia" w:hAnsi="宋体"/>
          <w:color w:val="auto"/>
          <w:sz w:val="24"/>
          <w:szCs w:val="24"/>
          <w:highlight w:val="none"/>
          <w:shd w:val="clear" w:color="auto" w:fill="auto"/>
        </w:rPr>
        <w:t>）。</w:t>
      </w:r>
    </w:p>
    <w:p>
      <w:pPr>
        <w:adjustRightInd w:val="0"/>
        <w:snapToGrid w:val="0"/>
        <w:spacing w:line="400" w:lineRule="exact"/>
        <w:ind w:firstLine="482" w:firstLineChars="200"/>
        <w:jc w:val="left"/>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以上材料如为复印件均需加盖供应商公章。</w:t>
      </w:r>
    </w:p>
    <w:p>
      <w:pPr>
        <w:spacing w:line="480" w:lineRule="exact"/>
        <w:ind w:firstLine="482" w:firstLineChars="200"/>
        <w:rPr>
          <w:rFonts w:hAnsi="宋体"/>
          <w:b/>
          <w:bCs/>
          <w:color w:val="auto"/>
          <w:sz w:val="24"/>
          <w:szCs w:val="24"/>
          <w:highlight w:val="none"/>
          <w:shd w:val="clear" w:color="auto" w:fill="auto"/>
        </w:rPr>
      </w:pPr>
      <w:r>
        <w:rPr>
          <w:rFonts w:hint="eastAsia" w:hAnsi="宋体"/>
          <w:b/>
          <w:bCs/>
          <w:color w:val="auto"/>
          <w:sz w:val="24"/>
          <w:szCs w:val="24"/>
          <w:highlight w:val="none"/>
          <w:shd w:val="clear" w:color="auto" w:fill="auto"/>
        </w:rPr>
        <w:t>二、</w:t>
      </w:r>
      <w:r>
        <w:rPr>
          <w:rFonts w:hint="eastAsia" w:hAnsi="宋体"/>
          <w:b/>
          <w:bCs/>
          <w:color w:val="auto"/>
          <w:sz w:val="24"/>
          <w:szCs w:val="24"/>
          <w:highlight w:val="none"/>
          <w:shd w:val="clear" w:color="auto" w:fill="auto"/>
          <w:lang w:val="en-US" w:eastAsia="zh-CN"/>
        </w:rPr>
        <w:t>商务</w:t>
      </w:r>
      <w:r>
        <w:rPr>
          <w:rFonts w:hint="eastAsia" w:hAnsi="宋体"/>
          <w:b/>
          <w:bCs/>
          <w:color w:val="auto"/>
          <w:sz w:val="24"/>
          <w:szCs w:val="24"/>
          <w:highlight w:val="none"/>
          <w:shd w:val="clear" w:color="auto" w:fill="auto"/>
        </w:rPr>
        <w:t>技术响应文件（单独密封）：</w:t>
      </w:r>
    </w:p>
    <w:p>
      <w:pPr>
        <w:adjustRightInd w:val="0"/>
        <w:snapToGrid w:val="0"/>
        <w:spacing w:line="480" w:lineRule="exact"/>
        <w:ind w:firstLine="484" w:firstLineChars="202"/>
        <w:jc w:val="left"/>
        <w:rPr>
          <w:rFonts w:hAnsi="宋体" w:cs="宋体"/>
          <w:bCs/>
          <w:color w:val="auto"/>
          <w:sz w:val="24"/>
          <w:szCs w:val="24"/>
          <w:highlight w:val="none"/>
          <w:shd w:val="clear" w:color="auto" w:fill="auto"/>
        </w:rPr>
      </w:pPr>
      <w:r>
        <w:rPr>
          <w:rFonts w:hint="eastAsia" w:ascii="Times New Roman" w:hAnsi="宋体" w:cs="Times New Roman"/>
          <w:color w:val="auto"/>
          <w:sz w:val="24"/>
          <w:szCs w:val="24"/>
          <w:highlight w:val="none"/>
          <w:shd w:val="clear" w:color="auto" w:fill="auto"/>
          <w:lang w:eastAsia="zh-CN"/>
        </w:rPr>
        <w:t>1.</w:t>
      </w:r>
      <w:r>
        <w:rPr>
          <w:rFonts w:hint="eastAsia" w:hAnsi="宋体" w:cs="宋体"/>
          <w:bCs/>
          <w:color w:val="auto"/>
          <w:sz w:val="24"/>
          <w:szCs w:val="24"/>
          <w:highlight w:val="none"/>
          <w:shd w:val="clear" w:color="auto" w:fill="auto"/>
        </w:rPr>
        <w:t>磋商文件中所涉及的事项需提供的所有资料；</w:t>
      </w:r>
    </w:p>
    <w:p>
      <w:pPr>
        <w:adjustRightInd w:val="0"/>
        <w:snapToGrid w:val="0"/>
        <w:spacing w:line="480" w:lineRule="exact"/>
        <w:ind w:firstLine="484" w:firstLineChars="202"/>
        <w:jc w:val="left"/>
        <w:rPr>
          <w:rFonts w:hAnsi="宋体" w:cs="宋体"/>
          <w:bCs/>
          <w:color w:val="auto"/>
          <w:sz w:val="24"/>
          <w:szCs w:val="24"/>
          <w:highlight w:val="none"/>
          <w:shd w:val="clear" w:color="auto" w:fill="auto"/>
        </w:rPr>
      </w:pPr>
      <w:r>
        <w:rPr>
          <w:rFonts w:hint="eastAsia" w:hAnsi="宋体" w:cs="宋体"/>
          <w:bCs/>
          <w:color w:val="auto"/>
          <w:sz w:val="24"/>
          <w:szCs w:val="24"/>
          <w:highlight w:val="none"/>
          <w:shd w:val="clear" w:color="auto" w:fill="auto"/>
          <w:lang w:val="en-US" w:eastAsia="zh-CN"/>
        </w:rPr>
        <w:t>2</w:t>
      </w:r>
      <w:r>
        <w:rPr>
          <w:rFonts w:hint="eastAsia" w:hAnsi="宋体" w:cs="宋体"/>
          <w:bCs/>
          <w:color w:val="auto"/>
          <w:sz w:val="24"/>
          <w:szCs w:val="24"/>
          <w:highlight w:val="none"/>
          <w:shd w:val="clear" w:color="auto" w:fill="auto"/>
        </w:rPr>
        <w:t>.磋商文件中未涉及的事项，供应商认为需要提交的其他资料。</w:t>
      </w:r>
    </w:p>
    <w:p>
      <w:pPr>
        <w:adjustRightInd w:val="0"/>
        <w:snapToGrid w:val="0"/>
        <w:spacing w:line="400" w:lineRule="exact"/>
        <w:ind w:firstLine="482" w:firstLineChars="200"/>
        <w:jc w:val="left"/>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特别提醒：“资格审查文件”“</w:t>
      </w:r>
      <w:r>
        <w:rPr>
          <w:rFonts w:hint="eastAsia" w:hAnsi="宋体" w:cs="宋体"/>
          <w:b/>
          <w:bCs/>
          <w:color w:val="auto"/>
          <w:sz w:val="24"/>
          <w:szCs w:val="24"/>
          <w:highlight w:val="none"/>
          <w:shd w:val="clear" w:color="auto" w:fill="auto"/>
          <w:lang w:val="en-US" w:eastAsia="zh-CN"/>
        </w:rPr>
        <w:t>商务</w:t>
      </w:r>
      <w:r>
        <w:rPr>
          <w:rFonts w:hint="eastAsia" w:hAnsi="宋体" w:cs="宋体"/>
          <w:b/>
          <w:bCs/>
          <w:color w:val="auto"/>
          <w:sz w:val="24"/>
          <w:szCs w:val="24"/>
          <w:highlight w:val="none"/>
          <w:shd w:val="clear" w:color="auto" w:fill="auto"/>
        </w:rPr>
        <w:t xml:space="preserve">技术响应文件”所须提供的材料按磋商文件要求装订，密封，递交。 </w:t>
      </w:r>
    </w:p>
    <w:p>
      <w:pPr>
        <w:adjustRightInd w:val="0"/>
        <w:snapToGrid w:val="0"/>
        <w:spacing w:line="480" w:lineRule="exact"/>
        <w:ind w:firstLine="482" w:firstLineChars="200"/>
        <w:jc w:val="left"/>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三、</w:t>
      </w:r>
      <w:r>
        <w:rPr>
          <w:rFonts w:hint="eastAsia" w:hAnsi="宋体" w:cs="宋体"/>
          <w:b/>
          <w:bCs/>
          <w:color w:val="auto"/>
          <w:sz w:val="24"/>
          <w:szCs w:val="24"/>
          <w:highlight w:val="none"/>
          <w:shd w:val="clear" w:color="auto" w:fill="auto"/>
          <w:lang w:eastAsia="zh-CN"/>
        </w:rPr>
        <w:t>报价响应文件</w:t>
      </w:r>
      <w:r>
        <w:rPr>
          <w:rFonts w:hint="eastAsia" w:hAnsi="宋体" w:cs="宋体"/>
          <w:b/>
          <w:bCs/>
          <w:color w:val="auto"/>
          <w:sz w:val="24"/>
          <w:szCs w:val="24"/>
          <w:highlight w:val="none"/>
          <w:shd w:val="clear" w:color="auto" w:fill="auto"/>
        </w:rPr>
        <w:t>（单独密封）</w:t>
      </w:r>
    </w:p>
    <w:p>
      <w:pPr>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1.竞争性磋商响应函（</w:t>
      </w:r>
      <w:r>
        <w:rPr>
          <w:rFonts w:hint="eastAsia" w:hAnsi="宋体" w:cs="宋体"/>
          <w:color w:val="auto"/>
          <w:sz w:val="24"/>
          <w:szCs w:val="24"/>
          <w:highlight w:val="none"/>
          <w:shd w:val="clear" w:color="auto" w:fill="auto"/>
          <w:lang w:eastAsia="zh-CN"/>
        </w:rPr>
        <w:t>格式参见附件</w:t>
      </w:r>
      <w:r>
        <w:rPr>
          <w:rFonts w:hint="eastAsia" w:hAnsi="宋体" w:cs="宋体"/>
          <w:color w:val="auto"/>
          <w:sz w:val="24"/>
          <w:szCs w:val="24"/>
          <w:highlight w:val="none"/>
          <w:shd w:val="clear" w:color="auto" w:fill="auto"/>
        </w:rPr>
        <w:t>）；</w:t>
      </w:r>
    </w:p>
    <w:p>
      <w:pPr>
        <w:spacing w:line="480" w:lineRule="exact"/>
        <w:ind w:firstLine="480" w:firstLineChars="200"/>
        <w:rPr>
          <w:rFonts w:hint="eastAsia" w:hAnsi="宋体" w:eastAsia="宋体" w:cs="宋体"/>
          <w:color w:val="auto"/>
          <w:sz w:val="24"/>
          <w:szCs w:val="24"/>
          <w:highlight w:val="none"/>
          <w:shd w:val="clear" w:color="auto" w:fill="auto"/>
          <w:lang w:eastAsia="zh-CN"/>
        </w:rPr>
      </w:pPr>
      <w:r>
        <w:rPr>
          <w:rFonts w:hint="eastAsia" w:hAnsi="宋体" w:cs="宋体"/>
          <w:color w:val="auto"/>
          <w:sz w:val="24"/>
          <w:szCs w:val="24"/>
          <w:highlight w:val="none"/>
          <w:shd w:val="clear" w:color="auto" w:fill="auto"/>
        </w:rPr>
        <w:t>2.磋商响应报价表（</w:t>
      </w:r>
      <w:r>
        <w:rPr>
          <w:rFonts w:hint="eastAsia" w:hAnsi="宋体" w:cs="宋体"/>
          <w:color w:val="auto"/>
          <w:sz w:val="24"/>
          <w:szCs w:val="24"/>
          <w:highlight w:val="none"/>
          <w:shd w:val="clear" w:color="auto" w:fill="auto"/>
          <w:lang w:eastAsia="zh-CN"/>
        </w:rPr>
        <w:t>格式参见附件</w:t>
      </w:r>
      <w:r>
        <w:rPr>
          <w:rFonts w:hint="eastAsia"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lang w:eastAsia="zh-CN"/>
        </w:rPr>
        <w:t>。</w:t>
      </w:r>
    </w:p>
    <w:p>
      <w:pPr>
        <w:shd w:val="clear"/>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3.磋商响应报价明细表（</w:t>
      </w:r>
      <w:r>
        <w:rPr>
          <w:rFonts w:hint="eastAsia" w:hAnsi="宋体" w:cs="宋体"/>
          <w:color w:val="auto"/>
          <w:sz w:val="24"/>
          <w:szCs w:val="24"/>
          <w:highlight w:val="none"/>
          <w:shd w:val="clear" w:color="auto" w:fill="auto"/>
          <w:lang w:eastAsia="zh-CN"/>
        </w:rPr>
        <w:t>格式参见附件</w:t>
      </w:r>
      <w:r>
        <w:rPr>
          <w:rFonts w:hint="eastAsia" w:hAnsi="宋体" w:cs="宋体"/>
          <w:color w:val="auto"/>
          <w:sz w:val="24"/>
          <w:szCs w:val="24"/>
          <w:highlight w:val="none"/>
        </w:rPr>
        <w:t>）。</w:t>
      </w:r>
    </w:p>
    <w:p>
      <w:pPr>
        <w:adjustRightInd w:val="0"/>
        <w:snapToGrid w:val="0"/>
        <w:spacing w:line="480" w:lineRule="exact"/>
        <w:ind w:firstLine="482" w:firstLineChars="200"/>
        <w:jc w:val="left"/>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四、响应文件电子版（单独密封）</w:t>
      </w:r>
    </w:p>
    <w:p>
      <w:pPr>
        <w:spacing w:line="480" w:lineRule="exact"/>
        <w:ind w:firstLine="480" w:firstLineChars="200"/>
        <w:rPr>
          <w:rFonts w:hAnsi="宋体"/>
          <w:color w:val="auto"/>
          <w:sz w:val="24"/>
          <w:szCs w:val="24"/>
          <w:highlight w:val="none"/>
          <w:shd w:val="clear" w:color="auto" w:fill="auto"/>
        </w:rPr>
      </w:pPr>
      <w:r>
        <w:rPr>
          <w:rFonts w:hint="eastAsia" w:hAnsi="宋体"/>
          <w:color w:val="auto"/>
          <w:sz w:val="24"/>
          <w:szCs w:val="24"/>
          <w:highlight w:val="none"/>
          <w:shd w:val="clear" w:color="auto" w:fill="auto"/>
        </w:rPr>
        <w:t>响应文件电子版需将资格审查文件、</w:t>
      </w:r>
      <w:r>
        <w:rPr>
          <w:rFonts w:hint="eastAsia" w:ascii="宋体" w:hAnsi="宋体" w:cs="宋体"/>
          <w:color w:val="auto"/>
          <w:sz w:val="24"/>
          <w:szCs w:val="24"/>
          <w:highlight w:val="none"/>
          <w:shd w:val="clear" w:color="auto" w:fill="auto"/>
          <w:lang w:val="en-US" w:eastAsia="zh-CN"/>
        </w:rPr>
        <w:t>商务</w:t>
      </w:r>
      <w:r>
        <w:rPr>
          <w:rFonts w:hint="eastAsia" w:hAnsi="宋体"/>
          <w:color w:val="auto"/>
          <w:sz w:val="24"/>
          <w:szCs w:val="24"/>
          <w:highlight w:val="none"/>
          <w:shd w:val="clear" w:color="auto" w:fill="auto"/>
        </w:rPr>
        <w:t>技术响应文件、</w:t>
      </w:r>
      <w:r>
        <w:rPr>
          <w:rFonts w:hint="eastAsia" w:hAnsi="宋体"/>
          <w:color w:val="auto"/>
          <w:sz w:val="24"/>
          <w:szCs w:val="24"/>
          <w:highlight w:val="none"/>
          <w:shd w:val="clear" w:color="auto" w:fill="auto"/>
          <w:lang w:eastAsia="zh-CN"/>
        </w:rPr>
        <w:t>报价响应文件</w:t>
      </w:r>
      <w:r>
        <w:rPr>
          <w:rFonts w:hint="eastAsia" w:hAnsi="宋体"/>
          <w:color w:val="auto"/>
          <w:sz w:val="24"/>
          <w:szCs w:val="24"/>
          <w:highlight w:val="none"/>
          <w:shd w:val="clear" w:color="auto" w:fill="auto"/>
        </w:rPr>
        <w:t>的正本盖章后扫描一份存于U盘中，单独密封递交。</w:t>
      </w:r>
      <w:r>
        <w:rPr>
          <w:rFonts w:hint="eastAsia" w:hAnsi="宋体"/>
          <w:color w:val="auto"/>
          <w:sz w:val="24"/>
          <w:szCs w:val="24"/>
          <w:highlight w:val="none"/>
          <w:shd w:val="clear" w:color="auto" w:fill="auto"/>
        </w:rPr>
        <w:br w:type="page"/>
      </w:r>
    </w:p>
    <w:p>
      <w:pPr>
        <w:widowControl/>
        <w:jc w:val="left"/>
        <w:rPr>
          <w:rFonts w:hAnsi="宋体"/>
          <w:b/>
          <w:bCs/>
          <w:color w:val="auto"/>
          <w:sz w:val="24"/>
          <w:szCs w:val="24"/>
          <w:highlight w:val="none"/>
          <w:shd w:val="clear" w:color="auto" w:fill="auto"/>
        </w:rPr>
      </w:pPr>
      <w:r>
        <w:rPr>
          <w:rFonts w:hint="eastAsia" w:hAnsi="宋体"/>
          <w:b/>
          <w:color w:val="auto"/>
          <w:sz w:val="24"/>
          <w:szCs w:val="24"/>
          <w:highlight w:val="none"/>
          <w:shd w:val="clear" w:color="auto" w:fill="auto"/>
        </w:rPr>
        <w:t>附件:</w:t>
      </w:r>
    </w:p>
    <w:p>
      <w:pPr>
        <w:snapToGrid w:val="0"/>
        <w:spacing w:line="520" w:lineRule="exact"/>
        <w:jc w:val="center"/>
        <w:outlineLvl w:val="4"/>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1.法定代表人身份证明</w:t>
      </w:r>
    </w:p>
    <w:p>
      <w:pPr>
        <w:snapToGrid w:val="0"/>
        <w:spacing w:line="520" w:lineRule="exact"/>
        <w:jc w:val="center"/>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（法定代表人参加磋商，须出示此证明）</w:t>
      </w:r>
    </w:p>
    <w:p>
      <w:pPr>
        <w:snapToGrid w:val="0"/>
        <w:spacing w:line="520" w:lineRule="exact"/>
        <w:jc w:val="center"/>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r>
        <w:rPr>
          <w:rFonts w:hint="eastAsia" w:ascii="方正仿宋_GBK"/>
          <w:color w:val="auto"/>
          <w:sz w:val="24"/>
          <w:szCs w:val="24"/>
          <w:highlight w:val="none"/>
          <w:u w:val="single"/>
          <w:shd w:val="clear" w:color="auto" w:fill="auto"/>
          <w:lang w:eastAsia="zh-CN"/>
        </w:rPr>
        <w:t>南通博物苑</w:t>
      </w:r>
      <w:r>
        <w:rPr>
          <w:rFonts w:hint="eastAsia" w:hAnsi="宋体" w:cs="宋体"/>
          <w:color w:val="auto"/>
          <w:sz w:val="24"/>
          <w:szCs w:val="24"/>
          <w:highlight w:val="none"/>
          <w:shd w:val="clear" w:color="auto" w:fill="auto"/>
        </w:rPr>
        <w:t>：</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我公司法定代表人</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参加贵单位组织的</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（竞争性磋商项目名称)项目的磋商活动，全权代表我公司处理该磋商活动的有关事宜。</w:t>
      </w:r>
    </w:p>
    <w:p>
      <w:pPr>
        <w:snapToGrid w:val="0"/>
        <w:spacing w:line="520" w:lineRule="exact"/>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附：法定代表人情况：</w:t>
      </w:r>
    </w:p>
    <w:p>
      <w:pPr>
        <w:snapToGrid w:val="0"/>
        <w:spacing w:line="520" w:lineRule="exact"/>
        <w:rPr>
          <w:rFonts w:hAnsi="宋体" w:cs="宋体"/>
          <w:color w:val="auto"/>
          <w:sz w:val="24"/>
          <w:szCs w:val="24"/>
          <w:highlight w:val="none"/>
          <w:u w:val="single"/>
          <w:shd w:val="clear" w:color="auto" w:fill="auto"/>
        </w:rPr>
      </w:pPr>
      <w:r>
        <w:rPr>
          <w:rFonts w:hint="eastAsia" w:hAnsi="宋体" w:cs="宋体"/>
          <w:color w:val="auto"/>
          <w:sz w:val="24"/>
          <w:szCs w:val="24"/>
          <w:highlight w:val="none"/>
          <w:shd w:val="clear" w:color="auto" w:fill="auto"/>
        </w:rPr>
        <w:t>姓名：</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性别：</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年龄：</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职务：</w:t>
      </w:r>
      <w:r>
        <w:rPr>
          <w:rFonts w:hint="eastAsia" w:hAnsi="宋体" w:cs="宋体"/>
          <w:color w:val="auto"/>
          <w:sz w:val="24"/>
          <w:szCs w:val="24"/>
          <w:highlight w:val="none"/>
          <w:u w:val="single"/>
          <w:shd w:val="clear" w:color="auto" w:fill="auto"/>
        </w:rPr>
        <w:t xml:space="preserve">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身份证号码：</w:t>
      </w:r>
      <w:r>
        <w:rPr>
          <w:rFonts w:hint="eastAsia" w:hAnsi="宋体" w:cs="宋体"/>
          <w:color w:val="auto"/>
          <w:sz w:val="24"/>
          <w:szCs w:val="24"/>
          <w:highlight w:val="none"/>
          <w:u w:val="single"/>
          <w:shd w:val="clear" w:color="auto" w:fill="auto"/>
        </w:rPr>
        <w:t xml:space="preserve">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手机：</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传真：</w:t>
      </w:r>
      <w:r>
        <w:rPr>
          <w:rFonts w:hint="eastAsia" w:hAnsi="宋体" w:cs="宋体"/>
          <w:color w:val="auto"/>
          <w:sz w:val="24"/>
          <w:szCs w:val="24"/>
          <w:highlight w:val="none"/>
          <w:u w:val="single"/>
          <w:shd w:val="clear" w:color="auto" w:fill="auto"/>
        </w:rPr>
        <w:t xml:space="preserve">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w:t>
      </w:r>
    </w:p>
    <w:p>
      <w:pPr>
        <w:snapToGrid w:val="0"/>
        <w:spacing w:line="520" w:lineRule="exact"/>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单位名称（公章）             法定代表人（签字或盖章）</w:t>
      </w:r>
    </w:p>
    <w:p>
      <w:pPr>
        <w:snapToGrid w:val="0"/>
        <w:spacing w:line="520" w:lineRule="exact"/>
        <w:ind w:firstLine="1200" w:firstLineChars="5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年   月   日                 年   月    日  </w:t>
      </w:r>
    </w:p>
    <w:p>
      <w:pPr>
        <w:snapToGrid w:val="0"/>
        <w:spacing w:line="520" w:lineRule="exact"/>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法定代表人身份证复印件</w:t>
      </w:r>
    </w:p>
    <w:p>
      <w:pPr>
        <w:snapToGrid w:val="0"/>
        <w:spacing w:line="520" w:lineRule="exact"/>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p>
    <w:p>
      <w:pPr>
        <w:snapToGrid w:val="0"/>
        <w:spacing w:line="520" w:lineRule="exact"/>
        <w:ind w:firstLine="2280" w:firstLineChars="95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（粘贴此处）</w:t>
      </w:r>
    </w:p>
    <w:p>
      <w:pPr>
        <w:snapToGrid w:val="0"/>
        <w:spacing w:line="520" w:lineRule="exact"/>
        <w:ind w:firstLine="482" w:firstLineChars="200"/>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注:参加磋商活动时法定代表人将身份证原件准备好，参加开标。</w:t>
      </w:r>
    </w:p>
    <w:p>
      <w:pPr>
        <w:snapToGrid w:val="0"/>
        <w:spacing w:line="520" w:lineRule="exact"/>
        <w:jc w:val="center"/>
        <w:outlineLvl w:val="4"/>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br w:type="page"/>
      </w:r>
      <w:r>
        <w:rPr>
          <w:rFonts w:hint="eastAsia" w:hAnsi="宋体" w:cs="宋体"/>
          <w:b/>
          <w:bCs/>
          <w:color w:val="auto"/>
          <w:sz w:val="24"/>
          <w:szCs w:val="24"/>
          <w:highlight w:val="none"/>
          <w:shd w:val="clear" w:color="auto" w:fill="auto"/>
        </w:rPr>
        <w:t>2.授权委托书</w:t>
      </w:r>
    </w:p>
    <w:p>
      <w:pPr>
        <w:snapToGrid w:val="0"/>
        <w:spacing w:line="520" w:lineRule="exact"/>
        <w:jc w:val="center"/>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（委托代理人参加磋商，须出示此证明）</w:t>
      </w:r>
    </w:p>
    <w:p>
      <w:pPr>
        <w:snapToGrid w:val="0"/>
        <w:spacing w:line="520" w:lineRule="exact"/>
        <w:rPr>
          <w:rFonts w:hAnsi="宋体" w:cs="宋体"/>
          <w:bCs/>
          <w:color w:val="auto"/>
          <w:sz w:val="24"/>
          <w:szCs w:val="24"/>
          <w:highlight w:val="none"/>
          <w:shd w:val="clear" w:color="auto" w:fill="auto"/>
        </w:rPr>
      </w:pPr>
      <w:r>
        <w:rPr>
          <w:rFonts w:hint="eastAsia" w:ascii="方正仿宋_GBK"/>
          <w:color w:val="auto"/>
          <w:sz w:val="24"/>
          <w:szCs w:val="24"/>
          <w:highlight w:val="none"/>
          <w:u w:val="single"/>
          <w:shd w:val="clear" w:color="auto" w:fill="auto"/>
          <w:lang w:eastAsia="zh-CN"/>
        </w:rPr>
        <w:t>南通博物苑</w:t>
      </w:r>
      <w:r>
        <w:rPr>
          <w:rFonts w:hint="eastAsia" w:hAnsi="宋体" w:cs="宋体"/>
          <w:color w:val="auto"/>
          <w:sz w:val="24"/>
          <w:szCs w:val="24"/>
          <w:highlight w:val="none"/>
          <w:shd w:val="clear" w:color="auto" w:fill="auto"/>
        </w:rPr>
        <w:t>：</w:t>
      </w:r>
    </w:p>
    <w:p>
      <w:pPr>
        <w:snapToGrid w:val="0"/>
        <w:spacing w:line="520" w:lineRule="exact"/>
        <w:ind w:left="1"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兹授权</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被授权人的姓名）代表我公司参加</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（竞争性磋商项目名称)项目的磋商活动，全权处理一切与该项目磋商有关的事务。其在办理上述事宜过程中所签署的所有文件我公司均予以承认。</w:t>
      </w:r>
    </w:p>
    <w:p>
      <w:pPr>
        <w:snapToGrid w:val="0"/>
        <w:spacing w:line="520" w:lineRule="exact"/>
        <w:ind w:left="1" w:firstLine="480" w:firstLineChars="200"/>
        <w:rPr>
          <w:rFonts w:hAnsi="宋体"/>
          <w:color w:val="auto"/>
          <w:sz w:val="24"/>
          <w:szCs w:val="24"/>
          <w:highlight w:val="none"/>
          <w:shd w:val="clear" w:color="auto" w:fill="auto"/>
        </w:rPr>
      </w:pPr>
      <w:r>
        <w:rPr>
          <w:rFonts w:hint="eastAsia" w:hAnsi="宋体" w:cs="宋体"/>
          <w:color w:val="auto"/>
          <w:sz w:val="24"/>
          <w:szCs w:val="24"/>
          <w:highlight w:val="none"/>
          <w:shd w:val="clear" w:color="auto" w:fill="auto"/>
        </w:rPr>
        <w:t>被授权人无转委托权。特此委托。</w:t>
      </w:r>
    </w:p>
    <w:p>
      <w:pPr>
        <w:snapToGrid w:val="0"/>
        <w:spacing w:line="520" w:lineRule="exact"/>
        <w:ind w:left="1" w:firstLine="480" w:firstLineChars="200"/>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附：被授权人情况：</w:t>
      </w:r>
    </w:p>
    <w:p>
      <w:pPr>
        <w:snapToGrid w:val="0"/>
        <w:spacing w:line="520" w:lineRule="exact"/>
        <w:rPr>
          <w:rFonts w:hAnsi="宋体" w:cs="宋体"/>
          <w:color w:val="auto"/>
          <w:sz w:val="24"/>
          <w:szCs w:val="24"/>
          <w:highlight w:val="none"/>
          <w:u w:val="single"/>
          <w:shd w:val="clear" w:color="auto" w:fill="auto"/>
        </w:rPr>
      </w:pPr>
      <w:r>
        <w:rPr>
          <w:rFonts w:hint="eastAsia" w:hAnsi="宋体" w:cs="宋体"/>
          <w:color w:val="auto"/>
          <w:sz w:val="24"/>
          <w:szCs w:val="24"/>
          <w:highlight w:val="none"/>
          <w:shd w:val="clear" w:color="auto" w:fill="auto"/>
        </w:rPr>
        <w:t>姓名：</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性别：</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年龄：</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职务：</w:t>
      </w:r>
      <w:r>
        <w:rPr>
          <w:rFonts w:hint="eastAsia" w:hAnsi="宋体" w:cs="宋体"/>
          <w:color w:val="auto"/>
          <w:sz w:val="24"/>
          <w:szCs w:val="24"/>
          <w:highlight w:val="none"/>
          <w:u w:val="single"/>
          <w:shd w:val="clear" w:color="auto" w:fill="auto"/>
        </w:rPr>
        <w:t xml:space="preserve">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身份证号码：</w:t>
      </w:r>
      <w:r>
        <w:rPr>
          <w:rFonts w:hint="eastAsia" w:hAnsi="宋体" w:cs="宋体"/>
          <w:color w:val="auto"/>
          <w:sz w:val="24"/>
          <w:szCs w:val="24"/>
          <w:highlight w:val="none"/>
          <w:u w:val="single"/>
          <w:shd w:val="clear" w:color="auto" w:fill="auto"/>
        </w:rPr>
        <w:t xml:space="preserve">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手机：</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传真：</w:t>
      </w:r>
      <w:r>
        <w:rPr>
          <w:rFonts w:hint="eastAsia" w:hAnsi="宋体" w:cs="宋体"/>
          <w:color w:val="auto"/>
          <w:sz w:val="24"/>
          <w:szCs w:val="24"/>
          <w:highlight w:val="none"/>
          <w:u w:val="single"/>
          <w:shd w:val="clear" w:color="auto" w:fill="auto"/>
        </w:rPr>
        <w:t xml:space="preserve">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单位名称（公章）             法定代表人（签字或盖章）</w:t>
      </w:r>
    </w:p>
    <w:p>
      <w:pPr>
        <w:snapToGrid w:val="0"/>
        <w:spacing w:line="520" w:lineRule="exact"/>
        <w:ind w:firstLine="1200" w:firstLineChars="5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年   月   日                 年   月    日  </w:t>
      </w:r>
    </w:p>
    <w:p>
      <w:pPr>
        <w:snapToGrid w:val="0"/>
        <w:spacing w:line="520" w:lineRule="exact"/>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法定代表人身份证复印件</w:t>
      </w:r>
    </w:p>
    <w:p>
      <w:pPr>
        <w:snapToGrid w:val="0"/>
        <w:spacing w:line="520" w:lineRule="exact"/>
        <w:rPr>
          <w:rFonts w:hAnsi="宋体" w:cs="宋体"/>
          <w:color w:val="auto"/>
          <w:sz w:val="24"/>
          <w:szCs w:val="24"/>
          <w:highlight w:val="none"/>
          <w:shd w:val="clear" w:color="auto" w:fill="auto"/>
        </w:rPr>
      </w:pPr>
    </w:p>
    <w:p>
      <w:pPr>
        <w:snapToGrid w:val="0"/>
        <w:spacing w:line="520" w:lineRule="exact"/>
        <w:ind w:firstLine="3960" w:firstLineChars="165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（粘贴此处）</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被授权人身份证复印件</w:t>
      </w:r>
    </w:p>
    <w:p>
      <w:pPr>
        <w:snapToGrid w:val="0"/>
        <w:spacing w:line="520" w:lineRule="exact"/>
        <w:rPr>
          <w:rFonts w:hAnsi="宋体" w:cs="宋体"/>
          <w:color w:val="auto"/>
          <w:sz w:val="24"/>
          <w:szCs w:val="24"/>
          <w:highlight w:val="none"/>
          <w:shd w:val="clear" w:color="auto" w:fill="auto"/>
        </w:rPr>
      </w:pPr>
    </w:p>
    <w:p>
      <w:pPr>
        <w:snapToGrid w:val="0"/>
        <w:spacing w:line="520" w:lineRule="exact"/>
        <w:jc w:val="center"/>
        <w:rPr>
          <w:rFonts w:hAnsi="宋体" w:cs="宋体"/>
          <w:color w:val="auto"/>
          <w:sz w:val="24"/>
          <w:szCs w:val="24"/>
          <w:highlight w:val="none"/>
          <w:shd w:val="clear" w:color="auto" w:fill="auto"/>
        </w:rPr>
      </w:pPr>
    </w:p>
    <w:p>
      <w:pPr>
        <w:snapToGrid w:val="0"/>
        <w:spacing w:line="520" w:lineRule="exact"/>
        <w:jc w:val="center"/>
        <w:rPr>
          <w:rFonts w:hAnsi="宋体" w:cs="宋体"/>
          <w:b/>
          <w:bCs/>
          <w:color w:val="auto"/>
          <w:sz w:val="24"/>
          <w:szCs w:val="24"/>
          <w:highlight w:val="none"/>
          <w:shd w:val="clear" w:color="auto" w:fill="auto"/>
        </w:rPr>
      </w:pPr>
      <w:r>
        <w:rPr>
          <w:rFonts w:hint="eastAsia" w:hAnsi="宋体" w:cs="宋体"/>
          <w:color w:val="auto"/>
          <w:sz w:val="24"/>
          <w:szCs w:val="24"/>
          <w:highlight w:val="none"/>
          <w:shd w:val="clear" w:color="auto" w:fill="auto"/>
        </w:rPr>
        <w:t>（粘贴此处）</w:t>
      </w:r>
    </w:p>
    <w:p>
      <w:pPr>
        <w:snapToGrid w:val="0"/>
        <w:spacing w:line="520" w:lineRule="exact"/>
        <w:ind w:firstLine="482" w:firstLineChars="200"/>
        <w:jc w:val="center"/>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注:参加磋商活动时被授权人将身份证原件准备好，参加开标。</w:t>
      </w:r>
    </w:p>
    <w:p>
      <w:pPr>
        <w:snapToGrid w:val="0"/>
        <w:spacing w:before="492" w:beforeLines="150" w:after="164" w:afterLines="50" w:line="420" w:lineRule="exact"/>
        <w:jc w:val="center"/>
        <w:outlineLvl w:val="4"/>
        <w:rPr>
          <w:rFonts w:hAnsi="宋体" w:cs="宋体"/>
          <w:b/>
          <w:bCs/>
          <w:color w:val="auto"/>
          <w:sz w:val="24"/>
          <w:szCs w:val="24"/>
          <w:highlight w:val="none"/>
          <w:shd w:val="clear" w:color="auto" w:fill="auto"/>
        </w:rPr>
      </w:pPr>
      <w:r>
        <w:rPr>
          <w:rFonts w:hint="eastAsia" w:hAnsi="宋体" w:cs="宋体"/>
          <w:b/>
          <w:bCs/>
          <w:color w:val="auto"/>
          <w:sz w:val="28"/>
          <w:szCs w:val="28"/>
          <w:highlight w:val="none"/>
          <w:shd w:val="clear" w:color="auto" w:fill="auto"/>
        </w:rPr>
        <w:br w:type="page"/>
      </w:r>
      <w:r>
        <w:rPr>
          <w:rFonts w:hint="eastAsia" w:hAnsi="宋体" w:cs="宋体"/>
          <w:b/>
          <w:bCs/>
          <w:color w:val="auto"/>
          <w:sz w:val="28"/>
          <w:szCs w:val="28"/>
          <w:highlight w:val="none"/>
          <w:shd w:val="clear" w:color="auto" w:fill="auto"/>
        </w:rPr>
        <w:t>3.无重大违法记录声明</w:t>
      </w:r>
    </w:p>
    <w:p>
      <w:pPr>
        <w:snapToGrid w:val="0"/>
        <w:spacing w:line="440" w:lineRule="exact"/>
        <w:rPr>
          <w:rFonts w:hAnsi="宋体" w:cs="宋体"/>
          <w:color w:val="auto"/>
          <w:sz w:val="24"/>
          <w:szCs w:val="24"/>
          <w:highlight w:val="none"/>
          <w:shd w:val="clear" w:color="auto" w:fill="auto"/>
        </w:rPr>
      </w:pPr>
      <w:r>
        <w:rPr>
          <w:rFonts w:hint="eastAsia" w:ascii="方正仿宋_GBK"/>
          <w:color w:val="auto"/>
          <w:sz w:val="24"/>
          <w:szCs w:val="24"/>
          <w:highlight w:val="none"/>
          <w:u w:val="single"/>
          <w:shd w:val="clear" w:color="auto" w:fill="auto"/>
          <w:lang w:eastAsia="zh-CN"/>
        </w:rPr>
        <w:t>南通博物苑</w:t>
      </w:r>
      <w:r>
        <w:rPr>
          <w:rFonts w:hint="eastAsia" w:hAnsi="宋体" w:cs="宋体"/>
          <w:color w:val="auto"/>
          <w:sz w:val="24"/>
          <w:szCs w:val="24"/>
          <w:highlight w:val="none"/>
          <w:shd w:val="clear" w:color="auto" w:fill="auto"/>
        </w:rPr>
        <w:t>：</w:t>
      </w:r>
    </w:p>
    <w:p>
      <w:pPr>
        <w:spacing w:line="360" w:lineRule="auto"/>
        <w:ind w:firstLine="480" w:firstLineChars="200"/>
        <w:jc w:val="left"/>
        <w:rPr>
          <w:rFonts w:ascii="宋体"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我单位</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（供应商名称）</w:t>
      </w:r>
      <w:r>
        <w:rPr>
          <w:rFonts w:hint="eastAsia" w:ascii="宋体" w:hAnsi="宋体" w:cs="宋体"/>
          <w:color w:val="auto"/>
          <w:sz w:val="24"/>
          <w:szCs w:val="24"/>
          <w:highlight w:val="none"/>
          <w:shd w:val="clear" w:color="auto" w:fill="auto"/>
        </w:rPr>
        <w:t>郑重声明：</w:t>
      </w:r>
    </w:p>
    <w:p>
      <w:pPr>
        <w:spacing w:line="360" w:lineRule="auto"/>
        <w:ind w:firstLine="480" w:firstLineChars="200"/>
        <w:jc w:val="left"/>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参加本次采购活动前3年内，我公司在经营活动中没有因违法经营受到刑事处罚或者责令停产停业、吊销许可证或者执照、较大数额罚款等行政处罚。</w:t>
      </w:r>
    </w:p>
    <w:p>
      <w:pPr>
        <w:spacing w:line="360" w:lineRule="auto"/>
        <w:ind w:firstLine="480" w:firstLineChars="200"/>
        <w:jc w:val="left"/>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在本项目投标截止时间前，没有被“信用中国”（www.creditchina.gov.cn）、“中国政府采购网”（www.ccgp.gov.cn）网站列入失信被执行人、重大税收违法案件当事人名单、政府采购严重违法失信行为记录名单。</w:t>
      </w:r>
    </w:p>
    <w:p>
      <w:pPr>
        <w:spacing w:line="360" w:lineRule="auto"/>
        <w:ind w:firstLine="480"/>
        <w:rPr>
          <w:rFonts w:hAnsi="宋体" w:cs="宋体"/>
          <w:color w:val="auto"/>
          <w:sz w:val="24"/>
          <w:szCs w:val="24"/>
          <w:highlight w:val="none"/>
          <w:shd w:val="clear" w:color="auto" w:fill="auto"/>
        </w:rPr>
      </w:pPr>
    </w:p>
    <w:p>
      <w:pPr>
        <w:spacing w:line="360" w:lineRule="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声明人：（公章）</w:t>
      </w:r>
    </w:p>
    <w:p>
      <w:pPr>
        <w:spacing w:line="360" w:lineRule="auto"/>
        <w:jc w:val="center"/>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年     月    日</w:t>
      </w:r>
    </w:p>
    <w:p>
      <w:pPr>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br w:type="page"/>
      </w:r>
    </w:p>
    <w:p>
      <w:pPr>
        <w:snapToGrid w:val="0"/>
        <w:spacing w:line="520" w:lineRule="exact"/>
        <w:jc w:val="center"/>
        <w:outlineLvl w:val="2"/>
        <w:rPr>
          <w:rFonts w:ascii="宋体" w:hAnsi="宋体" w:cs="宋体"/>
          <w:b/>
          <w:bCs/>
          <w:color w:val="auto"/>
          <w:sz w:val="28"/>
          <w:szCs w:val="28"/>
          <w:highlight w:val="none"/>
          <w:shd w:val="clear" w:color="auto" w:fill="auto"/>
        </w:rPr>
      </w:pPr>
      <w:r>
        <w:rPr>
          <w:rFonts w:hint="eastAsia" w:ascii="宋体" w:hAnsi="宋体" w:cs="宋体"/>
          <w:b/>
          <w:bCs/>
          <w:color w:val="auto"/>
          <w:sz w:val="28"/>
          <w:szCs w:val="28"/>
          <w:highlight w:val="none"/>
          <w:shd w:val="clear" w:color="auto" w:fill="auto"/>
        </w:rPr>
        <w:t>4.关于资格文件的声明函</w:t>
      </w:r>
    </w:p>
    <w:p>
      <w:pPr>
        <w:pStyle w:val="6"/>
        <w:overflowPunct w:val="0"/>
        <w:spacing w:line="520" w:lineRule="exact"/>
        <w:jc w:val="center"/>
        <w:rPr>
          <w:rFonts w:ascii="宋体" w:hAnsi="宋体" w:eastAsia="宋体" w:cs="宋体"/>
          <w:color w:val="auto"/>
          <w:sz w:val="28"/>
          <w:szCs w:val="28"/>
          <w:highlight w:val="none"/>
          <w:shd w:val="clear" w:color="auto" w:fill="auto"/>
        </w:rPr>
      </w:pPr>
    </w:p>
    <w:p>
      <w:pPr>
        <w:snapToGrid w:val="0"/>
        <w:spacing w:line="440" w:lineRule="exact"/>
        <w:rPr>
          <w:rFonts w:hAnsi="宋体" w:cs="宋体"/>
          <w:color w:val="auto"/>
          <w:sz w:val="24"/>
          <w:szCs w:val="24"/>
          <w:highlight w:val="none"/>
          <w:shd w:val="clear" w:color="auto" w:fill="auto"/>
        </w:rPr>
      </w:pPr>
      <w:r>
        <w:rPr>
          <w:rFonts w:hint="eastAsia" w:ascii="方正仿宋_GBK"/>
          <w:color w:val="auto"/>
          <w:sz w:val="24"/>
          <w:szCs w:val="24"/>
          <w:highlight w:val="none"/>
          <w:u w:val="single"/>
          <w:shd w:val="clear" w:color="auto" w:fill="auto"/>
          <w:lang w:eastAsia="zh-CN"/>
        </w:rPr>
        <w:t>南通博物苑</w:t>
      </w:r>
      <w:r>
        <w:rPr>
          <w:rFonts w:hint="eastAsia" w:hAnsi="宋体" w:cs="宋体"/>
          <w:color w:val="auto"/>
          <w:sz w:val="24"/>
          <w:szCs w:val="24"/>
          <w:highlight w:val="none"/>
          <w:shd w:val="clear" w:color="auto" w:fill="auto"/>
        </w:rPr>
        <w:t>：</w:t>
      </w:r>
    </w:p>
    <w:p>
      <w:pPr>
        <w:pStyle w:val="6"/>
        <w:overflowPunct w:val="0"/>
        <w:spacing w:line="520" w:lineRule="exact"/>
        <w:ind w:firstLine="66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本公司愿就由贵单位组织实施的</w:t>
      </w:r>
      <w:r>
        <w:rPr>
          <w:rFonts w:hint="eastAsia" w:ascii="宋体" w:hAnsi="宋体" w:eastAsia="宋体" w:cs="宋体"/>
          <w:color w:val="auto"/>
          <w:szCs w:val="24"/>
          <w:highlight w:val="none"/>
          <w:u w:val="single"/>
          <w:shd w:val="clear" w:color="auto" w:fill="auto"/>
        </w:rPr>
        <w:t xml:space="preserve">              </w:t>
      </w:r>
      <w:r>
        <w:rPr>
          <w:rFonts w:hint="eastAsia" w:ascii="宋体" w:hAnsi="宋体" w:eastAsia="宋体" w:cs="宋体"/>
          <w:color w:val="auto"/>
          <w:szCs w:val="24"/>
          <w:highlight w:val="none"/>
          <w:shd w:val="clear" w:color="auto" w:fill="auto"/>
        </w:rPr>
        <w:t>（项目名称)竞争性磋商活动进行响应。本公司所提交的响应文件中所有关于磋商资格的文件、证明和陈述均是真实的、准确的。</w:t>
      </w:r>
    </w:p>
    <w:p>
      <w:pPr>
        <w:pStyle w:val="6"/>
        <w:overflowPunct w:val="0"/>
        <w:spacing w:line="520" w:lineRule="exact"/>
        <w:ind w:firstLine="66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本公司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pStyle w:val="6"/>
        <w:overflowPunct w:val="0"/>
        <w:spacing w:line="520" w:lineRule="exact"/>
        <w:ind w:firstLine="66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若与真实情况不符，本公司愿意承担由此而产生的一切后果。</w:t>
      </w:r>
    </w:p>
    <w:p>
      <w:pPr>
        <w:pStyle w:val="6"/>
        <w:overflowPunct w:val="0"/>
        <w:spacing w:line="520" w:lineRule="exact"/>
        <w:rPr>
          <w:rFonts w:ascii="宋体" w:hAnsi="宋体" w:eastAsia="宋体" w:cs="宋体"/>
          <w:color w:val="auto"/>
          <w:szCs w:val="24"/>
          <w:highlight w:val="none"/>
          <w:shd w:val="clear" w:color="auto" w:fill="auto"/>
        </w:rPr>
      </w:pPr>
    </w:p>
    <w:p>
      <w:pPr>
        <w:pStyle w:val="6"/>
        <w:overflowPunct w:val="0"/>
        <w:spacing w:line="520" w:lineRule="exact"/>
        <w:rPr>
          <w:rFonts w:ascii="宋体" w:hAnsi="宋体" w:eastAsia="宋体" w:cs="宋体"/>
          <w:color w:val="auto"/>
          <w:szCs w:val="24"/>
          <w:highlight w:val="none"/>
          <w:shd w:val="clear" w:color="auto" w:fill="auto"/>
        </w:rPr>
      </w:pPr>
    </w:p>
    <w:p>
      <w:pPr>
        <w:pStyle w:val="6"/>
        <w:overflowPunct w:val="0"/>
        <w:spacing w:line="520" w:lineRule="exact"/>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 xml:space="preserve">       </w:t>
      </w:r>
    </w:p>
    <w:p>
      <w:pPr>
        <w:pStyle w:val="6"/>
        <w:overflowPunct w:val="0"/>
        <w:spacing w:line="520" w:lineRule="exact"/>
        <w:ind w:left="1700" w:firstLine="425"/>
        <w:rPr>
          <w:rFonts w:ascii="宋体" w:hAnsi="宋体" w:eastAsia="宋体" w:cs="宋体"/>
          <w:color w:val="auto"/>
          <w:szCs w:val="24"/>
          <w:highlight w:val="none"/>
          <w:shd w:val="clear" w:color="auto" w:fill="auto"/>
        </w:rPr>
      </w:pPr>
    </w:p>
    <w:p>
      <w:pPr>
        <w:pStyle w:val="6"/>
        <w:overflowPunct w:val="0"/>
        <w:spacing w:line="520" w:lineRule="exact"/>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                        （供应商）公章： </w:t>
      </w:r>
    </w:p>
    <w:p>
      <w:pPr>
        <w:pStyle w:val="6"/>
        <w:overflowPunct w:val="0"/>
        <w:spacing w:line="520" w:lineRule="exact"/>
        <w:ind w:firstLine="864" w:firstLineChars="36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               法定代表人（签字或盖章）：</w:t>
      </w:r>
    </w:p>
    <w:p>
      <w:pPr>
        <w:pStyle w:val="6"/>
        <w:overflowPunct w:val="0"/>
        <w:spacing w:line="520" w:lineRule="exact"/>
        <w:ind w:left="1700" w:firstLine="425"/>
        <w:rPr>
          <w:rFonts w:ascii="宋体" w:hAnsi="宋体" w:eastAsia="宋体" w:cs="宋体"/>
          <w:color w:val="auto"/>
          <w:szCs w:val="24"/>
          <w:highlight w:val="none"/>
          <w:shd w:val="clear" w:color="auto" w:fill="auto"/>
        </w:rPr>
      </w:pPr>
    </w:p>
    <w:p>
      <w:pPr>
        <w:pStyle w:val="6"/>
        <w:overflowPunct w:val="0"/>
        <w:spacing w:line="520" w:lineRule="exact"/>
        <w:rPr>
          <w:rFonts w:ascii="宋体" w:hAnsi="宋体" w:eastAsia="宋体" w:cs="宋体"/>
          <w:color w:val="auto"/>
          <w:szCs w:val="24"/>
          <w:highlight w:val="none"/>
          <w:shd w:val="clear" w:color="auto" w:fill="auto"/>
        </w:rPr>
      </w:pPr>
    </w:p>
    <w:p>
      <w:pPr>
        <w:pStyle w:val="6"/>
        <w:overflowPunct w:val="0"/>
        <w:spacing w:line="520" w:lineRule="exact"/>
        <w:ind w:right="56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                                       年</w:t>
      </w: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 xml:space="preserve"> 月 </w:t>
      </w: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日</w:t>
      </w:r>
    </w:p>
    <w:p>
      <w:pPr>
        <w:pStyle w:val="18"/>
        <w:ind w:firstLine="420"/>
        <w:rPr>
          <w:color w:val="auto"/>
          <w:highlight w:val="none"/>
          <w:shd w:val="clear" w:color="auto" w:fill="auto"/>
        </w:rPr>
      </w:pPr>
    </w:p>
    <w:p>
      <w:pPr>
        <w:overflowPunct w:val="0"/>
        <w:adjustRightInd w:val="0"/>
        <w:spacing w:line="700" w:lineRule="exact"/>
        <w:ind w:firstLine="420"/>
        <w:jc w:val="left"/>
        <w:textAlignment w:val="baseline"/>
        <w:rPr>
          <w:b/>
          <w:color w:val="auto"/>
          <w:sz w:val="24"/>
          <w:szCs w:val="24"/>
          <w:highlight w:val="none"/>
          <w:shd w:val="clear" w:color="auto" w:fill="auto"/>
        </w:rPr>
      </w:pPr>
      <w:r>
        <w:rPr>
          <w:rFonts w:hint="eastAsia" w:cs="宋体"/>
          <w:b/>
          <w:bCs/>
          <w:color w:val="auto"/>
          <w:sz w:val="24"/>
          <w:szCs w:val="24"/>
          <w:highlight w:val="none"/>
          <w:shd w:val="clear" w:color="auto" w:fill="auto"/>
        </w:rPr>
        <w:br w:type="page"/>
      </w:r>
    </w:p>
    <w:p>
      <w:pPr>
        <w:rPr>
          <w:rFonts w:cs="宋体"/>
          <w:b/>
          <w:bCs/>
          <w:color w:val="auto"/>
          <w:sz w:val="28"/>
          <w:highlight w:val="none"/>
          <w:shd w:val="clear" w:color="auto" w:fill="auto"/>
        </w:rPr>
      </w:pPr>
    </w:p>
    <w:p>
      <w:pPr>
        <w:jc w:val="center"/>
        <w:rPr>
          <w:rFonts w:cs="宋体"/>
          <w:b/>
          <w:bCs/>
          <w:color w:val="auto"/>
          <w:sz w:val="28"/>
          <w:highlight w:val="none"/>
          <w:shd w:val="clear" w:color="auto" w:fill="auto"/>
        </w:rPr>
      </w:pPr>
      <w:r>
        <w:rPr>
          <w:rFonts w:hint="eastAsia" w:ascii="宋体" w:hAnsi="宋体" w:cs="宋体"/>
          <w:b/>
          <w:bCs/>
          <w:color w:val="auto"/>
          <w:sz w:val="28"/>
          <w:szCs w:val="28"/>
          <w:highlight w:val="none"/>
          <w:shd w:val="clear" w:color="auto" w:fill="auto"/>
          <w:lang w:val="en-US" w:eastAsia="zh-CN"/>
        </w:rPr>
        <w:t>5.</w:t>
      </w:r>
      <w:r>
        <w:rPr>
          <w:rFonts w:hint="eastAsia" w:cs="宋体"/>
          <w:b/>
          <w:bCs/>
          <w:color w:val="auto"/>
          <w:sz w:val="28"/>
          <w:highlight w:val="none"/>
          <w:shd w:val="clear" w:color="auto" w:fill="auto"/>
        </w:rPr>
        <w:t>竞争性磋商响应函</w:t>
      </w:r>
    </w:p>
    <w:p>
      <w:pPr>
        <w:snapToGrid w:val="0"/>
        <w:spacing w:line="440" w:lineRule="exact"/>
        <w:rPr>
          <w:rFonts w:hAnsi="宋体" w:cs="宋体"/>
          <w:color w:val="auto"/>
          <w:sz w:val="24"/>
          <w:szCs w:val="24"/>
          <w:highlight w:val="none"/>
          <w:shd w:val="clear" w:color="auto" w:fill="auto"/>
        </w:rPr>
      </w:pPr>
      <w:r>
        <w:rPr>
          <w:rFonts w:hint="eastAsia" w:ascii="方正仿宋_GBK"/>
          <w:color w:val="auto"/>
          <w:sz w:val="24"/>
          <w:szCs w:val="24"/>
          <w:highlight w:val="none"/>
          <w:u w:val="single"/>
          <w:shd w:val="clear" w:color="auto" w:fill="auto"/>
          <w:lang w:eastAsia="zh-CN"/>
        </w:rPr>
        <w:t>南通博物苑</w:t>
      </w:r>
      <w:r>
        <w:rPr>
          <w:rFonts w:hint="eastAsia" w:hAnsi="宋体" w:cs="宋体"/>
          <w:color w:val="auto"/>
          <w:sz w:val="24"/>
          <w:szCs w:val="24"/>
          <w:highlight w:val="none"/>
          <w:shd w:val="clear" w:color="auto" w:fill="auto"/>
        </w:rPr>
        <w:t>：</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依据贵单位委托代理机构组织的</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（磋商项目名称)项目竞争性磋商的邀请，我方授权</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（姓名）</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（职务）为全权代表参加该项目的磋商工作，全权处理本次竞争性磋商的有关事宜。同时，我公司声明如下：</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1.同意并接受竞争性磋商文件的各项要求，遵守竞争性磋商文件中的各项规定，按竞争性磋商文件的要求提供报价。</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3.我公司已毫无保留地向贵方提供一切所需的证明材料。</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outlineLvl w:val="3"/>
        <w:rPr>
          <w:rFonts w:hAnsi="宋体" w:cs="宋体"/>
          <w:b/>
          <w:color w:val="auto"/>
          <w:sz w:val="24"/>
          <w:szCs w:val="24"/>
          <w:highlight w:val="none"/>
          <w:shd w:val="clear" w:color="auto" w:fill="auto"/>
        </w:rPr>
      </w:pPr>
      <w:r>
        <w:rPr>
          <w:rFonts w:hint="eastAsia" w:hAnsi="宋体" w:cs="宋体"/>
          <w:color w:val="auto"/>
          <w:sz w:val="24"/>
          <w:szCs w:val="24"/>
          <w:highlight w:val="none"/>
          <w:shd w:val="clear" w:color="auto" w:fill="auto"/>
        </w:rPr>
        <w:t>5.</w:t>
      </w:r>
      <w:r>
        <w:rPr>
          <w:rFonts w:hint="eastAsia" w:hAnsi="宋体" w:cs="宋体"/>
          <w:b/>
          <w:color w:val="auto"/>
          <w:sz w:val="24"/>
          <w:szCs w:val="24"/>
          <w:highlight w:val="none"/>
          <w:shd w:val="clear" w:color="auto" w:fill="auto"/>
        </w:rPr>
        <w:t>我公司尊重磋商小组所作的评定结果，同时清楚理解到报价最低并非意味着必定获得成交资格。</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6.一旦成交，我方承诺无正当理由拒绝签订合同，同意被贵方取消成交资格。</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7.</w:t>
      </w:r>
      <w:r>
        <w:rPr>
          <w:rFonts w:hint="eastAsia" w:hAnsi="宋体" w:cs="宋体"/>
          <w:b/>
          <w:color w:val="auto"/>
          <w:sz w:val="24"/>
          <w:szCs w:val="24"/>
          <w:highlight w:val="none"/>
          <w:shd w:val="clear" w:color="auto" w:fill="auto"/>
        </w:rPr>
        <w:t>一旦成交，我方将根据竞争性磋商文件的规定，严格履行合同规定的责任和义务，并保证在竞争性磋商文件中规定的时间期限内完成合同项目。</w:t>
      </w:r>
    </w:p>
    <w:p>
      <w:pPr>
        <w:snapToGrid w:val="0"/>
        <w:spacing w:line="520" w:lineRule="exact"/>
        <w:jc w:val="right"/>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竞争性磋商响应单位：</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（加盖公章）</w:t>
      </w:r>
    </w:p>
    <w:p>
      <w:pPr>
        <w:snapToGrid w:val="0"/>
        <w:spacing w:line="520" w:lineRule="exact"/>
        <w:jc w:val="right"/>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法定代表人或被授权人：</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（签字或盖章）</w:t>
      </w:r>
    </w:p>
    <w:p>
      <w:pPr>
        <w:snapToGrid w:val="0"/>
        <w:spacing w:line="520" w:lineRule="exact"/>
        <w:jc w:val="right"/>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年      月     日</w:t>
      </w:r>
    </w:p>
    <w:p>
      <w:pPr>
        <w:snapToGrid w:val="0"/>
        <w:spacing w:line="520" w:lineRule="exact"/>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w:t>
      </w:r>
    </w:p>
    <w:p>
      <w:pPr>
        <w:spacing w:line="500" w:lineRule="exact"/>
        <w:ind w:left="487"/>
        <w:jc w:val="center"/>
        <w:outlineLvl w:val="3"/>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br w:type="page"/>
      </w:r>
      <w:r>
        <w:rPr>
          <w:rFonts w:hint="eastAsia" w:hAnsi="宋体" w:cs="宋体"/>
          <w:b/>
          <w:bCs/>
          <w:color w:val="auto"/>
          <w:sz w:val="28"/>
          <w:szCs w:val="28"/>
          <w:highlight w:val="none"/>
          <w:shd w:val="clear" w:color="auto" w:fill="auto"/>
          <w:lang w:val="en-US" w:eastAsia="zh-CN"/>
        </w:rPr>
        <w:t>6</w:t>
      </w:r>
      <w:r>
        <w:rPr>
          <w:rFonts w:hint="eastAsia" w:hAnsi="宋体" w:cs="宋体"/>
          <w:b/>
          <w:bCs/>
          <w:color w:val="auto"/>
          <w:sz w:val="28"/>
          <w:szCs w:val="28"/>
          <w:highlight w:val="none"/>
          <w:shd w:val="clear" w:color="auto" w:fill="auto"/>
        </w:rPr>
        <w:t>.磋商响应报价表（首次）</w:t>
      </w:r>
    </w:p>
    <w:tbl>
      <w:tblPr>
        <w:tblStyle w:val="19"/>
        <w:tblpPr w:leftFromText="180" w:rightFromText="180" w:vertAnchor="text" w:horzAnchor="page" w:tblpX="1598" w:tblpY="460"/>
        <w:tblOverlap w:val="never"/>
        <w:tblW w:w="8756"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4218"/>
        <w:gridCol w:w="453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0" w:hRule="exact"/>
        </w:trPr>
        <w:tc>
          <w:tcPr>
            <w:tcW w:w="4218" w:type="dxa"/>
            <w:tcBorders>
              <w:bottom w:val="single" w:color="auto" w:sz="4" w:space="0"/>
              <w:right w:val="single" w:color="auto" w:sz="4" w:space="0"/>
            </w:tcBorders>
            <w:vAlign w:val="center"/>
          </w:tcPr>
          <w:p>
            <w:pPr>
              <w:spacing w:line="520" w:lineRule="exact"/>
              <w:ind w:left="1" w:firstLine="27" w:firstLineChars="11"/>
              <w:jc w:val="center"/>
              <w:textAlignment w:val="bottom"/>
              <w:rPr>
                <w:b/>
                <w:color w:val="auto"/>
                <w:kern w:val="0"/>
                <w:sz w:val="24"/>
                <w:szCs w:val="24"/>
                <w:highlight w:val="none"/>
                <w:shd w:val="clear" w:color="auto" w:fill="auto"/>
              </w:rPr>
            </w:pPr>
            <w:r>
              <w:rPr>
                <w:rFonts w:hint="eastAsia"/>
                <w:b/>
                <w:color w:val="auto"/>
                <w:kern w:val="0"/>
                <w:sz w:val="24"/>
                <w:szCs w:val="24"/>
                <w:highlight w:val="none"/>
                <w:shd w:val="clear" w:color="auto" w:fill="auto"/>
              </w:rPr>
              <w:t>项目名称</w:t>
            </w:r>
          </w:p>
        </w:tc>
        <w:tc>
          <w:tcPr>
            <w:tcW w:w="4538" w:type="dxa"/>
            <w:tcBorders>
              <w:left w:val="nil"/>
              <w:bottom w:val="single" w:color="auto" w:sz="4" w:space="0"/>
            </w:tcBorders>
            <w:vAlign w:val="center"/>
          </w:tcPr>
          <w:p>
            <w:pPr>
              <w:spacing w:line="520" w:lineRule="exact"/>
              <w:ind w:left="1" w:firstLine="27" w:firstLineChars="11"/>
              <w:jc w:val="center"/>
              <w:textAlignment w:val="bottom"/>
              <w:rPr>
                <w:b/>
                <w:color w:val="auto"/>
                <w:kern w:val="0"/>
                <w:sz w:val="24"/>
                <w:szCs w:val="24"/>
                <w:highlight w:val="none"/>
                <w:shd w:val="clear" w:color="auto" w:fill="auto"/>
              </w:rPr>
            </w:pPr>
            <w:r>
              <w:rPr>
                <w:rFonts w:hint="eastAsia" w:hAnsi="宋体" w:cs="宋体"/>
                <w:b/>
                <w:color w:val="auto"/>
                <w:sz w:val="24"/>
                <w:szCs w:val="24"/>
                <w:highlight w:val="none"/>
                <w:shd w:val="clear" w:color="auto" w:fill="auto"/>
              </w:rPr>
              <w:t>磋商响应</w:t>
            </w:r>
            <w:r>
              <w:rPr>
                <w:rFonts w:hint="eastAsia"/>
                <w:b/>
                <w:color w:val="auto"/>
                <w:kern w:val="0"/>
                <w:sz w:val="24"/>
                <w:szCs w:val="24"/>
                <w:highlight w:val="none"/>
                <w:shd w:val="clear" w:color="auto" w:fill="auto"/>
              </w:rPr>
              <w:t>报价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40" w:hRule="exact"/>
        </w:trPr>
        <w:tc>
          <w:tcPr>
            <w:tcW w:w="4218" w:type="dxa"/>
            <w:tcBorders>
              <w:top w:val="nil"/>
              <w:right w:val="single" w:color="auto" w:sz="4" w:space="0"/>
            </w:tcBorders>
            <w:vAlign w:val="center"/>
          </w:tcPr>
          <w:p>
            <w:pPr>
              <w:widowControl/>
              <w:jc w:val="center"/>
              <w:rPr>
                <w:rFonts w:hAnsi="宋体" w:cs="宋体"/>
                <w:color w:val="auto"/>
                <w:kern w:val="0"/>
                <w:sz w:val="20"/>
                <w:highlight w:val="none"/>
                <w:shd w:val="clear" w:color="auto" w:fill="auto"/>
              </w:rPr>
            </w:pPr>
            <w:r>
              <w:rPr>
                <w:rFonts w:hint="eastAsia"/>
                <w:b/>
                <w:color w:val="auto"/>
                <w:kern w:val="0"/>
                <w:sz w:val="24"/>
                <w:szCs w:val="24"/>
                <w:highlight w:val="none"/>
                <w:shd w:val="clear" w:color="auto" w:fill="auto"/>
                <w:lang w:eastAsia="zh-CN"/>
              </w:rPr>
              <w:t>“乾隆的假期——清代宫廷节令礼俗展”展览服务项目</w:t>
            </w:r>
          </w:p>
        </w:tc>
        <w:tc>
          <w:tcPr>
            <w:tcW w:w="4538" w:type="dxa"/>
            <w:tcBorders>
              <w:top w:val="nil"/>
              <w:left w:val="nil"/>
            </w:tcBorders>
            <w:vAlign w:val="center"/>
          </w:tcPr>
          <w:p>
            <w:pPr>
              <w:widowControl/>
              <w:jc w:val="center"/>
              <w:rPr>
                <w:rFonts w:hint="eastAsia" w:hAnsi="宋体" w:cs="宋体"/>
                <w:color w:val="auto"/>
                <w:kern w:val="0"/>
                <w:sz w:val="24"/>
                <w:szCs w:val="24"/>
                <w:highlight w:val="none"/>
                <w:shd w:val="clear" w:color="auto" w:fill="auto"/>
                <w:lang w:val="en-US" w:eastAsia="zh-CN"/>
              </w:rPr>
            </w:pPr>
            <w:r>
              <w:rPr>
                <w:rFonts w:hint="eastAsia" w:hAnsi="宋体" w:cs="宋体"/>
                <w:color w:val="auto"/>
                <w:kern w:val="0"/>
                <w:sz w:val="24"/>
                <w:szCs w:val="24"/>
                <w:highlight w:val="none"/>
                <w:u w:val="single"/>
                <w:shd w:val="clear" w:color="auto" w:fill="auto"/>
                <w:lang w:val="en-US" w:eastAsia="zh-CN"/>
              </w:rPr>
              <w:t xml:space="preserve">       </w:t>
            </w:r>
            <w:r>
              <w:rPr>
                <w:rFonts w:hint="eastAsia" w:hAnsi="宋体" w:cs="宋体"/>
                <w:color w:val="auto"/>
                <w:kern w:val="0"/>
                <w:sz w:val="24"/>
                <w:szCs w:val="24"/>
                <w:highlight w:val="none"/>
                <w:shd w:val="clear" w:color="auto" w:fill="auto"/>
                <w:lang w:val="en-US" w:eastAsia="zh-CN"/>
              </w:rPr>
              <w:t>元</w:t>
            </w:r>
          </w:p>
          <w:p>
            <w:pPr>
              <w:pStyle w:val="18"/>
              <w:ind w:firstLine="1200" w:firstLineChars="500"/>
              <w:jc w:val="both"/>
              <w:rPr>
                <w:rFonts w:hint="default"/>
                <w:color w:val="auto"/>
                <w:highlight w:val="none"/>
                <w:lang w:val="en-US" w:eastAsia="zh-CN"/>
              </w:rPr>
            </w:pPr>
            <w:r>
              <w:rPr>
                <w:rFonts w:hint="eastAsia" w:hAnsi="宋体" w:cs="宋体"/>
                <w:color w:val="auto"/>
                <w:kern w:val="0"/>
                <w:sz w:val="24"/>
                <w:szCs w:val="24"/>
                <w:highlight w:val="none"/>
                <w:shd w:val="clear" w:color="auto" w:fill="auto"/>
                <w:lang w:val="en-US" w:eastAsia="zh-CN"/>
              </w:rPr>
              <w:t>大写</w:t>
            </w:r>
            <w:r>
              <w:rPr>
                <w:rFonts w:hint="eastAsia" w:hAnsi="宋体" w:cs="宋体"/>
                <w:color w:val="auto"/>
                <w:kern w:val="0"/>
                <w:sz w:val="24"/>
                <w:szCs w:val="24"/>
                <w:highlight w:val="none"/>
                <w:u w:val="single"/>
                <w:shd w:val="clear" w:color="auto" w:fill="auto"/>
                <w:lang w:val="en-US" w:eastAsia="zh-CN"/>
              </w:rPr>
              <w:t xml:space="preserve">       </w:t>
            </w:r>
          </w:p>
        </w:tc>
      </w:tr>
    </w:tbl>
    <w:p>
      <w:pPr>
        <w:shd w:val="clear"/>
        <w:kinsoku w:val="0"/>
        <w:topLinePunct/>
        <w:snapToGrid w:val="0"/>
        <w:spacing w:line="520" w:lineRule="exact"/>
        <w:rPr>
          <w:rFonts w:ascii="方正仿宋_GBK"/>
          <w:color w:val="auto"/>
          <w:sz w:val="24"/>
          <w:szCs w:val="24"/>
          <w:highlight w:val="none"/>
        </w:rPr>
      </w:pPr>
      <w:r>
        <w:rPr>
          <w:rFonts w:hint="eastAsia" w:hAnsi="宋体" w:cs="宋体"/>
          <w:color w:val="auto"/>
          <w:sz w:val="24"/>
          <w:szCs w:val="24"/>
          <w:highlight w:val="none"/>
        </w:rPr>
        <w:t>竞争性磋商响应单位</w:t>
      </w:r>
      <w:r>
        <w:rPr>
          <w:rFonts w:hint="eastAsia" w:ascii="方正仿宋_GBK"/>
          <w:color w:val="auto"/>
          <w:sz w:val="24"/>
          <w:szCs w:val="24"/>
          <w:highlight w:val="none"/>
        </w:rPr>
        <w:t xml:space="preserve">：（盖章）             </w:t>
      </w:r>
    </w:p>
    <w:p>
      <w:pPr>
        <w:shd w:val="clear"/>
        <w:kinsoku w:val="0"/>
        <w:topLinePunct/>
        <w:snapToGrid w:val="0"/>
        <w:spacing w:line="520" w:lineRule="exact"/>
        <w:rPr>
          <w:rFonts w:ascii="方正仿宋_GBK"/>
          <w:color w:val="auto"/>
          <w:sz w:val="24"/>
          <w:szCs w:val="24"/>
          <w:highlight w:val="none"/>
        </w:rPr>
      </w:pPr>
      <w:r>
        <w:rPr>
          <w:rFonts w:hint="eastAsia" w:ascii="方正仿宋_GBK"/>
          <w:color w:val="auto"/>
          <w:sz w:val="24"/>
          <w:szCs w:val="24"/>
          <w:highlight w:val="none"/>
        </w:rPr>
        <w:t>法定代表人或被授权人（签字）：</w:t>
      </w:r>
    </w:p>
    <w:p>
      <w:pPr>
        <w:shd w:val="clear"/>
        <w:kinsoku w:val="0"/>
        <w:topLinePunct/>
        <w:snapToGrid w:val="0"/>
        <w:spacing w:line="520" w:lineRule="exact"/>
        <w:rPr>
          <w:rFonts w:ascii="方正仿宋_GBK"/>
          <w:color w:val="auto"/>
          <w:sz w:val="24"/>
          <w:szCs w:val="24"/>
          <w:highlight w:val="none"/>
        </w:rPr>
      </w:pPr>
      <w:r>
        <w:rPr>
          <w:rFonts w:hint="eastAsia" w:ascii="方正仿宋_GBK"/>
          <w:color w:val="auto"/>
          <w:sz w:val="24"/>
          <w:szCs w:val="24"/>
          <w:highlight w:val="none"/>
        </w:rPr>
        <w:t>日期：</w:t>
      </w:r>
    </w:p>
    <w:p>
      <w:pPr>
        <w:shd w:val="clear"/>
        <w:kinsoku w:val="0"/>
        <w:topLinePunct/>
        <w:snapToGrid w:val="0"/>
        <w:spacing w:line="520" w:lineRule="exact"/>
        <w:rPr>
          <w:rFonts w:hint="eastAsia" w:ascii="方正仿宋_GBK"/>
          <w:b/>
          <w:color w:val="auto"/>
          <w:sz w:val="21"/>
          <w:szCs w:val="21"/>
          <w:highlight w:val="none"/>
        </w:rPr>
      </w:pPr>
    </w:p>
    <w:p>
      <w:pPr>
        <w:shd w:val="clear"/>
        <w:kinsoku w:val="0"/>
        <w:topLinePunct/>
        <w:snapToGrid w:val="0"/>
        <w:spacing w:line="520" w:lineRule="exact"/>
        <w:rPr>
          <w:rFonts w:ascii="方正仿宋_GBK"/>
          <w:b/>
          <w:color w:val="auto"/>
          <w:sz w:val="21"/>
          <w:szCs w:val="21"/>
          <w:highlight w:val="none"/>
        </w:rPr>
      </w:pPr>
      <w:r>
        <w:rPr>
          <w:rFonts w:hint="eastAsia" w:ascii="方正仿宋_GBK"/>
          <w:b/>
          <w:color w:val="auto"/>
          <w:sz w:val="21"/>
          <w:szCs w:val="21"/>
          <w:highlight w:val="none"/>
        </w:rPr>
        <w:t>注：</w:t>
      </w:r>
    </w:p>
    <w:p>
      <w:pPr>
        <w:numPr>
          <w:ilvl w:val="0"/>
          <w:numId w:val="0"/>
        </w:numPr>
        <w:shd w:val="clear"/>
        <w:kinsoku w:val="0"/>
        <w:topLinePunct/>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ascii="方正仿宋_GBK"/>
          <w:color w:val="auto"/>
          <w:sz w:val="21"/>
          <w:szCs w:val="21"/>
          <w:highlight w:val="none"/>
        </w:rPr>
        <w:t>本表</w:t>
      </w:r>
      <w:r>
        <w:rPr>
          <w:rFonts w:hint="eastAsia" w:ascii="方正仿宋_GBK"/>
          <w:color w:val="auto"/>
          <w:sz w:val="21"/>
          <w:szCs w:val="21"/>
          <w:highlight w:val="none"/>
        </w:rPr>
        <w:t>为格式表</w:t>
      </w:r>
      <w:r>
        <w:rPr>
          <w:rFonts w:ascii="方正仿宋_GBK"/>
          <w:color w:val="auto"/>
          <w:sz w:val="21"/>
          <w:szCs w:val="21"/>
          <w:highlight w:val="none"/>
        </w:rPr>
        <w:t>，</w:t>
      </w:r>
      <w:r>
        <w:rPr>
          <w:rFonts w:hint="eastAsia" w:ascii="方正仿宋_GBK"/>
          <w:color w:val="auto"/>
          <w:sz w:val="21"/>
          <w:szCs w:val="21"/>
          <w:highlight w:val="none"/>
        </w:rPr>
        <w:t>不得自行改动，必须提供</w:t>
      </w:r>
      <w:r>
        <w:rPr>
          <w:rFonts w:ascii="方正仿宋_GBK"/>
          <w:color w:val="auto"/>
          <w:sz w:val="21"/>
          <w:szCs w:val="21"/>
          <w:highlight w:val="none"/>
        </w:rPr>
        <w:t>。</w:t>
      </w:r>
    </w:p>
    <w:p>
      <w:pPr>
        <w:numPr>
          <w:ilvl w:val="0"/>
          <w:numId w:val="0"/>
        </w:numPr>
        <w:shd w:val="clear"/>
        <w:kinsoku w:val="0"/>
        <w:topLinePunct/>
        <w:snapToGrid w:val="0"/>
        <w:spacing w:line="360" w:lineRule="auto"/>
        <w:ind w:firstLine="210" w:firstLineChars="100"/>
        <w:rPr>
          <w:rFonts w:ascii="方正仿宋_GBK"/>
          <w:color w:val="auto"/>
          <w:sz w:val="21"/>
          <w:szCs w:val="21"/>
          <w:highlight w:val="none"/>
          <w:shd w:val="clear" w:color="auto" w:fill="auto"/>
        </w:rPr>
      </w:pPr>
      <w:r>
        <w:rPr>
          <w:rFonts w:hint="eastAsia" w:ascii="宋体" w:hAnsi="宋体" w:eastAsia="宋体" w:cs="宋体"/>
          <w:color w:val="auto"/>
          <w:kern w:val="2"/>
          <w:sz w:val="21"/>
          <w:szCs w:val="21"/>
          <w:highlight w:val="none"/>
          <w:lang w:val="en-US" w:eastAsia="zh-CN" w:bidi="ar-SA"/>
        </w:rPr>
        <w:t>（2）本项目报价（以人民币计价）应包含设计费、人工费、主材及标准附件、备品备件、辅材、开模费、包装、运输、保险、装卸、搬运费、技术措施费、机械进出场费、保管费、成品保护费、专用工具、技术资料、损耗、检测费、撤展、管理费、利润、国家税务部门规定的各项税金；原材料的涨价及政策性调整等风险费；相关伴随服务以及质保、售后服务等一切费用。供应商的报价应包括为完成本项目所发生的一切费用和税费，即响应磋商文件采购要求的所有各项应有费用，采购人将不再支付报价以外的任何费用。</w:t>
      </w:r>
      <w:r>
        <w:rPr>
          <w:rFonts w:hint="eastAsia" w:hAnsi="宋体" w:cs="宋体"/>
          <w:color w:val="auto"/>
          <w:sz w:val="21"/>
          <w:szCs w:val="21"/>
          <w:highlight w:val="none"/>
          <w:shd w:val="clear" w:color="auto" w:fill="auto"/>
          <w:lang w:val="en-US" w:eastAsia="zh-CN"/>
        </w:rPr>
        <w:t xml:space="preserve">                                    </w:t>
      </w:r>
    </w:p>
    <w:p>
      <w:pPr>
        <w:kinsoku w:val="0"/>
        <w:topLinePunct/>
        <w:snapToGrid w:val="0"/>
        <w:spacing w:line="360" w:lineRule="auto"/>
        <w:rPr>
          <w:rFonts w:hAnsi="宋体" w:cs="宋体"/>
          <w:color w:val="auto"/>
          <w:sz w:val="24"/>
          <w:szCs w:val="24"/>
          <w:highlight w:val="none"/>
          <w:shd w:val="clear" w:color="auto" w:fill="auto"/>
        </w:rPr>
      </w:pPr>
    </w:p>
    <w:p>
      <w:pPr>
        <w:kinsoku w:val="0"/>
        <w:topLinePunct/>
        <w:snapToGrid w:val="0"/>
        <w:spacing w:line="360" w:lineRule="auto"/>
        <w:rPr>
          <w:rFonts w:ascii="方正仿宋_GBK"/>
          <w:color w:val="auto"/>
          <w:sz w:val="24"/>
          <w:szCs w:val="24"/>
          <w:highlight w:val="none"/>
          <w:shd w:val="clear" w:color="auto" w:fill="auto"/>
        </w:rPr>
      </w:pPr>
    </w:p>
    <w:p>
      <w:pPr>
        <w:kinsoku w:val="0"/>
        <w:topLinePunct/>
        <w:snapToGrid w:val="0"/>
        <w:spacing w:line="360" w:lineRule="auto"/>
        <w:rPr>
          <w:rFonts w:hint="eastAsia" w:ascii="方正仿宋_GBK"/>
          <w:b/>
          <w:color w:val="auto"/>
          <w:sz w:val="24"/>
          <w:szCs w:val="24"/>
          <w:highlight w:val="none"/>
          <w:shd w:val="clear" w:color="auto" w:fill="auto"/>
        </w:rPr>
        <w:sectPr>
          <w:pgSz w:w="11906" w:h="16838"/>
          <w:pgMar w:top="1361" w:right="1361" w:bottom="1361" w:left="1361" w:header="851" w:footer="992" w:gutter="0"/>
          <w:cols w:space="720" w:num="1"/>
          <w:docGrid w:type="lines" w:linePitch="328" w:charSpace="0"/>
        </w:sectPr>
      </w:pPr>
      <w:r>
        <w:rPr>
          <w:rFonts w:hint="eastAsia" w:ascii="方正仿宋_GBK"/>
          <w:b/>
          <w:color w:val="auto"/>
          <w:sz w:val="24"/>
          <w:szCs w:val="24"/>
          <w:highlight w:val="none"/>
          <w:shd w:val="clear" w:color="auto" w:fill="auto"/>
        </w:rPr>
        <w:t>注：最终报价将现场填写，响应文件密封提交时只需填写磋商报价总计（首次）。</w:t>
      </w:r>
    </w:p>
    <w:p>
      <w:pPr>
        <w:shd w:val="clear"/>
        <w:spacing w:line="500" w:lineRule="exact"/>
        <w:ind w:left="487"/>
        <w:jc w:val="center"/>
        <w:outlineLvl w:val="3"/>
        <w:rPr>
          <w:rFonts w:hAnsi="宋体" w:cs="宋体"/>
          <w:b/>
          <w:bCs/>
          <w:color w:val="auto"/>
          <w:sz w:val="28"/>
          <w:szCs w:val="28"/>
          <w:highlight w:val="none"/>
        </w:rPr>
      </w:pPr>
      <w:r>
        <w:rPr>
          <w:rFonts w:hint="eastAsia" w:hAnsi="宋体" w:cs="宋体"/>
          <w:b/>
          <w:bCs/>
          <w:color w:val="auto"/>
          <w:sz w:val="28"/>
          <w:szCs w:val="28"/>
          <w:highlight w:val="none"/>
          <w:lang w:val="en-US" w:eastAsia="zh-CN"/>
        </w:rPr>
        <w:t>7</w:t>
      </w:r>
      <w:r>
        <w:rPr>
          <w:rFonts w:hint="eastAsia" w:hAnsi="宋体" w:cs="宋体"/>
          <w:b/>
          <w:bCs/>
          <w:color w:val="auto"/>
          <w:sz w:val="28"/>
          <w:szCs w:val="28"/>
          <w:highlight w:val="none"/>
        </w:rPr>
        <w:t>.磋商响应报价明细表</w:t>
      </w:r>
    </w:p>
    <w:p>
      <w:pPr>
        <w:shd w:val="clear"/>
        <w:kinsoku w:val="0"/>
        <w:topLinePunct/>
        <w:snapToGrid w:val="0"/>
        <w:spacing w:line="520" w:lineRule="exact"/>
        <w:rPr>
          <w:rFonts w:ascii="方正仿宋_GBK"/>
          <w:b/>
          <w:color w:val="auto"/>
          <w:sz w:val="24"/>
          <w:szCs w:val="24"/>
          <w:highlight w:val="none"/>
        </w:rPr>
      </w:pPr>
      <w:r>
        <w:rPr>
          <w:rFonts w:hint="eastAsia" w:ascii="方正仿宋_GBK"/>
          <w:b/>
          <w:color w:val="auto"/>
          <w:sz w:val="24"/>
          <w:szCs w:val="24"/>
          <w:highlight w:val="none"/>
        </w:rPr>
        <w:t>项目</w:t>
      </w:r>
      <w:r>
        <w:rPr>
          <w:rFonts w:ascii="方正仿宋_GBK"/>
          <w:b/>
          <w:color w:val="auto"/>
          <w:sz w:val="24"/>
          <w:szCs w:val="24"/>
          <w:highlight w:val="none"/>
        </w:rPr>
        <w:t>名称：</w:t>
      </w:r>
    </w:p>
    <w:tbl>
      <w:tblPr>
        <w:tblStyle w:val="19"/>
        <w:tblW w:w="9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965"/>
        <w:gridCol w:w="4516"/>
        <w:gridCol w:w="1182"/>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项目要求</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设计费</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方案设计、施工图设计、平面设计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现场零星拆除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海报</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材料：喷绘布，外框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工艺：高清打印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规格：约6235*3000mm</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条幅</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材料：宣绒布 挂轴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工艺：高清打印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规格：约1300*3400mm</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写真</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材料：写真PP纸背覆黑胶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工艺：高清打印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规格：约2300*600mm</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材料：木工板基底  基膜  车贴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工艺：高清写真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规格：工程量按面积计算</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3M不干胶</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材料：反光不干胶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工艺：雕刻，转移裱贴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规格：约1000*8</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墙布</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材料：12mm阻燃板基层  宣绒布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工艺：高清UV印刷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规格：2600*3000mm</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logo灯</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材料：镜片 灯具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工艺：成品采购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规格：7150*3000*1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屏风隔断</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材料：pvc雕刻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规格：800*3000mm</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灯笼定制</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材料：木制框架 仿羊皮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工艺：雕刻镂空花版 仿羊皮纸山水灯罩 中国结挂穗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规格：约55*55*35cm</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纸板人</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材料：PVC</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工艺：UV喷绘切割</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标题展板</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材料：户外防水喷绘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工艺：激光雕刻 UV打印 悬挂安装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规格：工程量按面积计算</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悬挂配件</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材料：综合材质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工艺：成品采购</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说明牌</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材料：卡纸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工艺：高清打印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规格：约100*50mm</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柜内展板</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材料：宣绒布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工艺：UV喷绘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规格：工程量按面积计算</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投影展板</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材料：边框+雪弗板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工艺：边框喷色 正面投影，背面UV打印图案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规格：1500x1360(投影面）</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多媒体影片</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工艺：二维动画制作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规格：时长60秒</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地贴指示</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材料：地贴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工艺：写真裱贴</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积木</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材料：木工板包布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工艺：叠加展示积木制作及包布</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辅助展具</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材料：亚克力压条、亚克力托架、固定件、卷轴轴头、挂画配件、卡纸、书型垫层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规格：按照实际需求定制</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75龙骨隔墙双面石膏板乳胶漆</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1、75系列轻钢龙骨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2、双面封12mm阻燃板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3、双面封9.5mm纸面石膏板</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r>
              <w:rPr>
                <w:rFonts w:hint="eastAsia" w:ascii="宋体" w:hAnsi="宋体" w:eastAsia="宋体" w:cs="宋体"/>
                <w:i w:val="0"/>
                <w:iCs w:val="0"/>
                <w:color w:val="auto"/>
                <w:kern w:val="0"/>
                <w:sz w:val="18"/>
                <w:szCs w:val="18"/>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展陈灯光</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专业展陈灯光</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bl>
    <w:p>
      <w:pPr>
        <w:shd w:val="clear"/>
        <w:kinsoku w:val="0"/>
        <w:topLinePunct/>
        <w:snapToGrid w:val="0"/>
        <w:spacing w:line="520" w:lineRule="exact"/>
        <w:rPr>
          <w:rFonts w:hint="eastAsia" w:ascii="方正仿宋_GBK" w:eastAsia="宋体"/>
          <w:b/>
          <w:color w:val="auto"/>
          <w:sz w:val="24"/>
          <w:szCs w:val="24"/>
          <w:highlight w:val="none"/>
          <w:lang w:val="en-US" w:eastAsia="zh-CN"/>
        </w:rPr>
      </w:pPr>
    </w:p>
    <w:p>
      <w:pPr>
        <w:pStyle w:val="18"/>
        <w:ind w:left="0" w:leftChars="0" w:firstLine="0" w:firstLineChars="0"/>
        <w:rPr>
          <w:color w:val="auto"/>
          <w:highlight w:val="none"/>
        </w:rPr>
      </w:pPr>
    </w:p>
    <w:p>
      <w:pPr>
        <w:shd w:val="clear"/>
        <w:kinsoku w:val="0"/>
        <w:topLinePunct/>
        <w:snapToGrid w:val="0"/>
        <w:spacing w:line="520" w:lineRule="exact"/>
        <w:jc w:val="right"/>
        <w:rPr>
          <w:rFonts w:ascii="方正仿宋_GBK"/>
          <w:color w:val="auto"/>
          <w:sz w:val="24"/>
          <w:szCs w:val="24"/>
          <w:highlight w:val="none"/>
        </w:rPr>
      </w:pPr>
      <w:r>
        <w:rPr>
          <w:rFonts w:hint="eastAsia" w:hAnsi="宋体" w:cs="宋体"/>
          <w:color w:val="auto"/>
          <w:sz w:val="24"/>
          <w:szCs w:val="24"/>
          <w:highlight w:val="none"/>
        </w:rPr>
        <w:t>竞争性磋商响应单位</w:t>
      </w:r>
      <w:r>
        <w:rPr>
          <w:rFonts w:hint="eastAsia" w:ascii="方正仿宋_GBK"/>
          <w:color w:val="auto"/>
          <w:sz w:val="24"/>
          <w:szCs w:val="24"/>
          <w:highlight w:val="none"/>
        </w:rPr>
        <w:t xml:space="preserve">：（盖章）             </w:t>
      </w:r>
    </w:p>
    <w:p>
      <w:pPr>
        <w:shd w:val="clear"/>
        <w:kinsoku w:val="0"/>
        <w:topLinePunct/>
        <w:snapToGrid w:val="0"/>
        <w:spacing w:line="520" w:lineRule="exact"/>
        <w:jc w:val="right"/>
        <w:rPr>
          <w:rFonts w:ascii="方正仿宋_GBK"/>
          <w:color w:val="auto"/>
          <w:sz w:val="24"/>
          <w:szCs w:val="24"/>
          <w:highlight w:val="none"/>
        </w:rPr>
      </w:pPr>
      <w:r>
        <w:rPr>
          <w:rFonts w:hint="eastAsia" w:ascii="方正仿宋_GBK"/>
          <w:color w:val="auto"/>
          <w:sz w:val="24"/>
          <w:szCs w:val="24"/>
          <w:highlight w:val="none"/>
        </w:rPr>
        <w:t>法定代表人或被授权人（签字）：</w:t>
      </w:r>
    </w:p>
    <w:p>
      <w:pPr>
        <w:shd w:val="clear"/>
        <w:jc w:val="right"/>
        <w:rPr>
          <w:color w:val="auto"/>
          <w:highlight w:val="none"/>
        </w:rPr>
      </w:pPr>
      <w:r>
        <w:rPr>
          <w:rFonts w:hint="eastAsia" w:ascii="方正仿宋_GBK"/>
          <w:color w:val="auto"/>
          <w:sz w:val="24"/>
          <w:szCs w:val="24"/>
          <w:highlight w:val="none"/>
        </w:rPr>
        <w:t>日期：</w:t>
      </w:r>
    </w:p>
    <w:p>
      <w:pPr>
        <w:rPr>
          <w:color w:val="auto"/>
          <w:highlight w:val="none"/>
          <w:shd w:val="clear" w:color="auto" w:fill="auto"/>
        </w:rPr>
      </w:pPr>
    </w:p>
    <w:sectPr>
      <w:pgSz w:w="11906" w:h="16838"/>
      <w:pgMar w:top="1361" w:right="1361" w:bottom="1361" w:left="1361" w:header="851"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9152A"/>
    <w:multiLevelType w:val="singleLevel"/>
    <w:tmpl w:val="C959152A"/>
    <w:lvl w:ilvl="0" w:tentative="0">
      <w:start w:val="1"/>
      <w:numFmt w:val="bullet"/>
      <w:pStyle w:val="22"/>
      <w:lvlText w:val=""/>
      <w:lvlJc w:val="left"/>
      <w:pPr>
        <w:tabs>
          <w:tab w:val="left" w:pos="780"/>
        </w:tabs>
        <w:ind w:left="780" w:hanging="360"/>
      </w:pPr>
      <w:rPr>
        <w:rFonts w:ascii="Wingdings" w:hAnsi="Wingdings"/>
      </w:rPr>
    </w:lvl>
  </w:abstractNum>
  <w:abstractNum w:abstractNumId="1">
    <w:nsid w:val="461A5EC3"/>
    <w:multiLevelType w:val="singleLevel"/>
    <w:tmpl w:val="461A5EC3"/>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NDA4YWU3MTc4MjUyYWJjMThlZmVlNTc5YWJiZjUifQ=="/>
  </w:docVars>
  <w:rsids>
    <w:rsidRoot w:val="5B834815"/>
    <w:rsid w:val="000C591E"/>
    <w:rsid w:val="007720D8"/>
    <w:rsid w:val="00E8407D"/>
    <w:rsid w:val="00F32C76"/>
    <w:rsid w:val="01610122"/>
    <w:rsid w:val="01E005CD"/>
    <w:rsid w:val="020C62E0"/>
    <w:rsid w:val="020D13AB"/>
    <w:rsid w:val="02C44E0D"/>
    <w:rsid w:val="04D4611C"/>
    <w:rsid w:val="05040C5C"/>
    <w:rsid w:val="061B25AA"/>
    <w:rsid w:val="06293905"/>
    <w:rsid w:val="06457E1B"/>
    <w:rsid w:val="06E061F8"/>
    <w:rsid w:val="08875D99"/>
    <w:rsid w:val="08E23539"/>
    <w:rsid w:val="09080023"/>
    <w:rsid w:val="0B00275A"/>
    <w:rsid w:val="0B043FF8"/>
    <w:rsid w:val="0B674587"/>
    <w:rsid w:val="0C122745"/>
    <w:rsid w:val="0C6D1992"/>
    <w:rsid w:val="0C8E5CB7"/>
    <w:rsid w:val="0C975D4D"/>
    <w:rsid w:val="0D07487F"/>
    <w:rsid w:val="0DA25D4B"/>
    <w:rsid w:val="0E3566D2"/>
    <w:rsid w:val="0ED33CD7"/>
    <w:rsid w:val="0F111837"/>
    <w:rsid w:val="0F7A6F7F"/>
    <w:rsid w:val="0F976562"/>
    <w:rsid w:val="109C4CD3"/>
    <w:rsid w:val="11FB4E01"/>
    <w:rsid w:val="123063CE"/>
    <w:rsid w:val="12C16C73"/>
    <w:rsid w:val="130268C3"/>
    <w:rsid w:val="130A2A71"/>
    <w:rsid w:val="13ED4FAF"/>
    <w:rsid w:val="13F57B76"/>
    <w:rsid w:val="14FB646C"/>
    <w:rsid w:val="151C74EA"/>
    <w:rsid w:val="154F4FF0"/>
    <w:rsid w:val="15D62A35"/>
    <w:rsid w:val="1663647D"/>
    <w:rsid w:val="1720040C"/>
    <w:rsid w:val="172269B7"/>
    <w:rsid w:val="17636221"/>
    <w:rsid w:val="17FF0351"/>
    <w:rsid w:val="181426AF"/>
    <w:rsid w:val="18264164"/>
    <w:rsid w:val="19526D18"/>
    <w:rsid w:val="1A234EDD"/>
    <w:rsid w:val="1B5508A0"/>
    <w:rsid w:val="1B944F25"/>
    <w:rsid w:val="1C2C303B"/>
    <w:rsid w:val="1C2D602B"/>
    <w:rsid w:val="1D2D6BB9"/>
    <w:rsid w:val="1D8A189D"/>
    <w:rsid w:val="1EA23B46"/>
    <w:rsid w:val="1EE33029"/>
    <w:rsid w:val="1F1539D3"/>
    <w:rsid w:val="1FD84531"/>
    <w:rsid w:val="1FF16DE9"/>
    <w:rsid w:val="213845A4"/>
    <w:rsid w:val="214427AF"/>
    <w:rsid w:val="216D3E2C"/>
    <w:rsid w:val="21F7682D"/>
    <w:rsid w:val="22967CEF"/>
    <w:rsid w:val="24C85B57"/>
    <w:rsid w:val="24D551FF"/>
    <w:rsid w:val="262B46D7"/>
    <w:rsid w:val="26CF03AD"/>
    <w:rsid w:val="281958DB"/>
    <w:rsid w:val="290A3941"/>
    <w:rsid w:val="2A132F45"/>
    <w:rsid w:val="2A4F3BE0"/>
    <w:rsid w:val="2ACD32E2"/>
    <w:rsid w:val="2AD73080"/>
    <w:rsid w:val="2B157704"/>
    <w:rsid w:val="2CE65546"/>
    <w:rsid w:val="2DBE15BD"/>
    <w:rsid w:val="2E1365BA"/>
    <w:rsid w:val="2E295D1A"/>
    <w:rsid w:val="2E8B4F66"/>
    <w:rsid w:val="2EC52D15"/>
    <w:rsid w:val="2F185F7D"/>
    <w:rsid w:val="2F2F348A"/>
    <w:rsid w:val="2F4131BE"/>
    <w:rsid w:val="2FCB312E"/>
    <w:rsid w:val="30B04157"/>
    <w:rsid w:val="30BD6874"/>
    <w:rsid w:val="30FD5EE8"/>
    <w:rsid w:val="318F2126"/>
    <w:rsid w:val="344352E2"/>
    <w:rsid w:val="34957CEA"/>
    <w:rsid w:val="359E1A84"/>
    <w:rsid w:val="36A77DAA"/>
    <w:rsid w:val="37DE5CE7"/>
    <w:rsid w:val="37E82428"/>
    <w:rsid w:val="37F37085"/>
    <w:rsid w:val="39656606"/>
    <w:rsid w:val="39B546EA"/>
    <w:rsid w:val="3BB24E04"/>
    <w:rsid w:val="3C90253B"/>
    <w:rsid w:val="3D6D1C91"/>
    <w:rsid w:val="3E004607"/>
    <w:rsid w:val="3E1F13E7"/>
    <w:rsid w:val="3E6A4D4D"/>
    <w:rsid w:val="3E7C4091"/>
    <w:rsid w:val="403A57EB"/>
    <w:rsid w:val="404E573A"/>
    <w:rsid w:val="40681178"/>
    <w:rsid w:val="40842F0A"/>
    <w:rsid w:val="415F3F89"/>
    <w:rsid w:val="41D80D76"/>
    <w:rsid w:val="41FB1B85"/>
    <w:rsid w:val="420C6E6A"/>
    <w:rsid w:val="42D737C5"/>
    <w:rsid w:val="42F425C9"/>
    <w:rsid w:val="43005FB1"/>
    <w:rsid w:val="445B167F"/>
    <w:rsid w:val="451C3A5F"/>
    <w:rsid w:val="452B2AE3"/>
    <w:rsid w:val="45BE2F8C"/>
    <w:rsid w:val="45E7338C"/>
    <w:rsid w:val="462705C0"/>
    <w:rsid w:val="46C35221"/>
    <w:rsid w:val="46CF5DD3"/>
    <w:rsid w:val="47F34762"/>
    <w:rsid w:val="48A20385"/>
    <w:rsid w:val="48E22EC4"/>
    <w:rsid w:val="4A1D5D99"/>
    <w:rsid w:val="4ACB00B3"/>
    <w:rsid w:val="4B270CDD"/>
    <w:rsid w:val="4B8944F8"/>
    <w:rsid w:val="4C0D6A06"/>
    <w:rsid w:val="4D080038"/>
    <w:rsid w:val="4D6B3A2E"/>
    <w:rsid w:val="4DF547DB"/>
    <w:rsid w:val="4E45017D"/>
    <w:rsid w:val="4F265CEA"/>
    <w:rsid w:val="4F2A1121"/>
    <w:rsid w:val="4F37695C"/>
    <w:rsid w:val="5146380C"/>
    <w:rsid w:val="51856AE2"/>
    <w:rsid w:val="518E5997"/>
    <w:rsid w:val="51C615D4"/>
    <w:rsid w:val="53161DC8"/>
    <w:rsid w:val="53511372"/>
    <w:rsid w:val="53F72CCF"/>
    <w:rsid w:val="540135DE"/>
    <w:rsid w:val="54F8055C"/>
    <w:rsid w:val="54FC20BB"/>
    <w:rsid w:val="556C4241"/>
    <w:rsid w:val="55A30387"/>
    <w:rsid w:val="56C1236A"/>
    <w:rsid w:val="57B450BA"/>
    <w:rsid w:val="57BB4A48"/>
    <w:rsid w:val="598362E0"/>
    <w:rsid w:val="5A6821B9"/>
    <w:rsid w:val="5AA24261"/>
    <w:rsid w:val="5AFC6BFA"/>
    <w:rsid w:val="5B834815"/>
    <w:rsid w:val="5C437358"/>
    <w:rsid w:val="5C8E2CEF"/>
    <w:rsid w:val="5D5A4708"/>
    <w:rsid w:val="5EC75C15"/>
    <w:rsid w:val="5EE96902"/>
    <w:rsid w:val="5FD11B2D"/>
    <w:rsid w:val="602F2BF1"/>
    <w:rsid w:val="60480506"/>
    <w:rsid w:val="61082EFA"/>
    <w:rsid w:val="610F0176"/>
    <w:rsid w:val="615A3AE7"/>
    <w:rsid w:val="61E039FB"/>
    <w:rsid w:val="61F57F4F"/>
    <w:rsid w:val="641C76D4"/>
    <w:rsid w:val="64E42046"/>
    <w:rsid w:val="65F71905"/>
    <w:rsid w:val="660266E7"/>
    <w:rsid w:val="661D3AC8"/>
    <w:rsid w:val="670634BB"/>
    <w:rsid w:val="673F7A07"/>
    <w:rsid w:val="681607A1"/>
    <w:rsid w:val="68B20400"/>
    <w:rsid w:val="6904786F"/>
    <w:rsid w:val="691A6407"/>
    <w:rsid w:val="692E30E7"/>
    <w:rsid w:val="693523D2"/>
    <w:rsid w:val="69650665"/>
    <w:rsid w:val="69CF11C8"/>
    <w:rsid w:val="69D33BD0"/>
    <w:rsid w:val="69DB153D"/>
    <w:rsid w:val="6A2922A9"/>
    <w:rsid w:val="6A4C76A7"/>
    <w:rsid w:val="6B6969C2"/>
    <w:rsid w:val="6C2C2E29"/>
    <w:rsid w:val="6CE546F0"/>
    <w:rsid w:val="6D7F761A"/>
    <w:rsid w:val="6DCC7B1B"/>
    <w:rsid w:val="6E1A330D"/>
    <w:rsid w:val="6E434D29"/>
    <w:rsid w:val="6E6D5B2F"/>
    <w:rsid w:val="6E996B81"/>
    <w:rsid w:val="6F0A2635"/>
    <w:rsid w:val="6F630159"/>
    <w:rsid w:val="6FB6638D"/>
    <w:rsid w:val="720848A9"/>
    <w:rsid w:val="7284105E"/>
    <w:rsid w:val="7357054A"/>
    <w:rsid w:val="73BB48FA"/>
    <w:rsid w:val="73CC2623"/>
    <w:rsid w:val="74BE72A9"/>
    <w:rsid w:val="74E0620B"/>
    <w:rsid w:val="75D106FF"/>
    <w:rsid w:val="76DB0407"/>
    <w:rsid w:val="76FF1ACF"/>
    <w:rsid w:val="77FC2DAB"/>
    <w:rsid w:val="783669AD"/>
    <w:rsid w:val="79EA0346"/>
    <w:rsid w:val="7A0A5714"/>
    <w:rsid w:val="7B60135E"/>
    <w:rsid w:val="7BEE2280"/>
    <w:rsid w:val="7C377FD4"/>
    <w:rsid w:val="7C854A8A"/>
    <w:rsid w:val="7D417B49"/>
    <w:rsid w:val="7DA56205"/>
    <w:rsid w:val="7EBC6925"/>
    <w:rsid w:val="7EDB2E77"/>
    <w:rsid w:val="7EF56303"/>
    <w:rsid w:val="7F112624"/>
    <w:rsid w:val="7F4546DC"/>
    <w:rsid w:val="7F8A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4">
    <w:name w:val="heading 2"/>
    <w:basedOn w:val="1"/>
    <w:next w:val="1"/>
    <w:unhideWhenUsed/>
    <w:qFormat/>
    <w:uiPriority w:val="0"/>
    <w:pPr>
      <w:keepNext/>
      <w:keepLines/>
      <w:snapToGrid w:val="0"/>
      <w:spacing w:line="300" w:lineRule="auto"/>
      <w:ind w:firstLine="200" w:firstLineChars="200"/>
      <w:outlineLvl w:val="1"/>
    </w:pPr>
    <w:rPr>
      <w:rFonts w:ascii="Calibri" w:hAnsi="Calibri"/>
      <w:b/>
      <w:bCs/>
      <w:szCs w:val="32"/>
    </w:rPr>
  </w:style>
  <w:style w:type="paragraph" w:styleId="5">
    <w:name w:val="heading 3"/>
    <w:basedOn w:val="1"/>
    <w:next w:val="1"/>
    <w:unhideWhenUsed/>
    <w:qFormat/>
    <w:uiPriority w:val="0"/>
    <w:pPr>
      <w:widowControl/>
      <w:autoSpaceDE w:val="0"/>
      <w:autoSpaceDN w:val="0"/>
      <w:snapToGrid w:val="0"/>
      <w:spacing w:line="300" w:lineRule="auto"/>
      <w:ind w:firstLine="200" w:firstLineChars="200"/>
      <w:outlineLvl w:val="2"/>
    </w:pPr>
    <w:rPr>
      <w:rFonts w:ascii="Calibri" w:hAnsi="Calibri"/>
      <w:b/>
      <w:szCs w:val="20"/>
    </w:rPr>
  </w:style>
  <w:style w:type="paragraph" w:styleId="2">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0"/>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ind w:firstLine="420"/>
      <w:jc w:val="left"/>
      <w:textAlignment w:val="baseline"/>
    </w:pPr>
    <w:rPr>
      <w:rFonts w:eastAsia="楷体_GB2312"/>
      <w:kern w:val="0"/>
      <w:sz w:val="24"/>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customStyle="1" w:styleId="9">
    <w:name w:val="Default"/>
    <w:qFormat/>
    <w:uiPriority w:val="0"/>
    <w:pPr>
      <w:widowControl w:val="0"/>
      <w:autoSpaceDE w:val="0"/>
      <w:autoSpaceDN w:val="0"/>
      <w:adjustRightInd w:val="0"/>
    </w:pPr>
    <w:rPr>
      <w:rFonts w:ascii="Times New Roman" w:hAnsi="Times New Roman" w:eastAsia="宋体" w:cs="宋体"/>
      <w:color w:val="000000"/>
      <w:sz w:val="24"/>
      <w:szCs w:val="24"/>
      <w:u w:val="single"/>
      <w:lang w:val="en-US" w:eastAsia="zh-CN" w:bidi="ar-SA"/>
    </w:rPr>
  </w:style>
  <w:style w:type="paragraph" w:styleId="10">
    <w:name w:val="Body Text Indent"/>
    <w:basedOn w:val="1"/>
    <w:next w:val="11"/>
    <w:unhideWhenUsed/>
    <w:qFormat/>
    <w:uiPriority w:val="99"/>
    <w:pPr>
      <w:spacing w:after="120"/>
      <w:ind w:left="420" w:leftChars="200"/>
    </w:pPr>
    <w:rPr>
      <w:szCs w:val="24"/>
    </w:rPr>
  </w:style>
  <w:style w:type="paragraph" w:styleId="11">
    <w:name w:val="envelope return"/>
    <w:basedOn w:val="1"/>
    <w:unhideWhenUsed/>
    <w:qFormat/>
    <w:uiPriority w:val="99"/>
    <w:pPr>
      <w:snapToGrid w:val="0"/>
    </w:pPr>
    <w:rPr>
      <w:rFonts w:ascii="Arial" w:hAnsi="Arial"/>
    </w:rPr>
  </w:style>
  <w:style w:type="paragraph" w:styleId="12">
    <w:name w:val="toc 3"/>
    <w:basedOn w:val="1"/>
    <w:next w:val="1"/>
    <w:qFormat/>
    <w:uiPriority w:val="0"/>
    <w:pPr>
      <w:ind w:left="840" w:leftChars="400"/>
    </w:pPr>
  </w:style>
  <w:style w:type="paragraph" w:styleId="13">
    <w:name w:val="Body Text Indent 2"/>
    <w:basedOn w:val="1"/>
    <w:qFormat/>
    <w:uiPriority w:val="0"/>
    <w:pPr>
      <w:spacing w:line="420" w:lineRule="exact"/>
      <w:ind w:firstLine="525"/>
    </w:pPr>
    <w:rPr>
      <w:rFonts w:ascii="宋体"/>
      <w:kern w:val="0"/>
      <w:sz w:val="20"/>
      <w:szCs w:val="20"/>
    </w:rPr>
  </w:style>
  <w:style w:type="paragraph" w:styleId="14">
    <w:name w:val="footer"/>
    <w:basedOn w:val="1"/>
    <w:qFormat/>
    <w:uiPriority w:val="0"/>
    <w:pPr>
      <w:tabs>
        <w:tab w:val="center" w:pos="4153"/>
        <w:tab w:val="right" w:pos="8306"/>
      </w:tabs>
      <w:snapToGrid w:val="0"/>
      <w:jc w:val="left"/>
    </w:pPr>
    <w:rPr>
      <w:kern w:val="0"/>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adjustRightInd w:val="0"/>
      <w:jc w:val="left"/>
      <w:textAlignment w:val="baseline"/>
    </w:pPr>
    <w:rPr>
      <w:rFonts w:eastAsia="楷体_GB2312"/>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2"/>
    <w:basedOn w:val="10"/>
    <w:next w:val="1"/>
    <w:unhideWhenUsed/>
    <w:qFormat/>
    <w:uiPriority w:val="99"/>
    <w:pPr>
      <w:ind w:firstLine="20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ListBullet2"/>
    <w:basedOn w:val="1"/>
    <w:qFormat/>
    <w:uiPriority w:val="99"/>
    <w:pPr>
      <w:numPr>
        <w:ilvl w:val="0"/>
        <w:numId w:val="1"/>
      </w:numPr>
    </w:pPr>
  </w:style>
  <w:style w:type="paragraph" w:customStyle="1" w:styleId="23">
    <w:name w:val="正文1"/>
    <w:basedOn w:val="1"/>
    <w:qFormat/>
    <w:uiPriority w:val="0"/>
    <w:pPr>
      <w:ind w:firstLine="361"/>
    </w:pPr>
    <w:rPr>
      <w:rFonts w:ascii="宋体" w:hAnsi="宋体"/>
      <w:szCs w:val="24"/>
    </w:rPr>
  </w:style>
  <w:style w:type="paragraph" w:customStyle="1" w:styleId="2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5">
    <w:name w:val="样式 小四 加粗"/>
    <w:basedOn w:val="21"/>
    <w:qFormat/>
    <w:uiPriority w:val="0"/>
    <w:rPr>
      <w:rFonts w:eastAsia="黑体"/>
      <w:b/>
      <w:bCs/>
      <w:sz w:val="24"/>
    </w:rPr>
  </w:style>
  <w:style w:type="character" w:customStyle="1" w:styleId="26">
    <w:name w:val="页眉 字符"/>
    <w:basedOn w:val="21"/>
    <w:link w:val="15"/>
    <w:qFormat/>
    <w:uiPriority w:val="0"/>
    <w:rPr>
      <w:kern w:val="2"/>
      <w:sz w:val="18"/>
      <w:szCs w:val="18"/>
    </w:rPr>
  </w:style>
  <w:style w:type="paragraph" w:customStyle="1" w:styleId="27">
    <w:name w:val="信息标题1"/>
    <w:basedOn w:val="1"/>
    <w:qFormat/>
    <w:uiPriority w:val="99"/>
    <w:pPr>
      <w:pBdr>
        <w:top w:val="single" w:color="000000" w:sz="6" w:space="1"/>
        <w:left w:val="single" w:color="000000" w:sz="6" w:space="1"/>
        <w:bottom w:val="single" w:color="000000" w:sz="6" w:space="1"/>
        <w:right w:val="single" w:color="000000" w:sz="6" w:space="1"/>
      </w:pBdr>
      <w:shd w:val="clear" w:color="auto" w:fill="7F7F7F"/>
      <w:spacing w:before="100" w:beforeAutospacing="1" w:after="100" w:afterAutospacing="1"/>
      <w:ind w:left="1080" w:hanging="1080"/>
    </w:pPr>
    <w:rPr>
      <w:rFonts w:ascii="Cambria" w:hAnsi="Cambria"/>
      <w:sz w:val="24"/>
      <w:szCs w:val="24"/>
    </w:rPr>
  </w:style>
  <w:style w:type="character" w:customStyle="1" w:styleId="28">
    <w:name w:val="NormalCharacter"/>
    <w:qFormat/>
    <w:uiPriority w:val="0"/>
  </w:style>
  <w:style w:type="paragraph" w:customStyle="1" w:styleId="29">
    <w:name w:val="正文缩进2格"/>
    <w:basedOn w:val="1"/>
    <w:qFormat/>
    <w:uiPriority w:val="0"/>
    <w:pPr>
      <w:spacing w:line="600" w:lineRule="exact"/>
      <w:ind w:firstLine="639"/>
    </w:pPr>
    <w:rPr>
      <w:rFonts w:ascii="仿宋_GB2312" w:hAnsi="宋体" w:eastAsia="仿宋_GB2312"/>
      <w:sz w:val="31"/>
      <w:szCs w:val="28"/>
    </w:rPr>
  </w:style>
  <w:style w:type="paragraph" w:customStyle="1" w:styleId="30">
    <w:name w:val="图例"/>
    <w:basedOn w:val="1"/>
    <w:qFormat/>
    <w:uiPriority w:val="0"/>
    <w:pPr>
      <w:spacing w:before="120" w:after="120" w:line="360" w:lineRule="auto"/>
      <w:jc w:val="center"/>
    </w:pPr>
    <w:rPr>
      <w:rFonts w:eastAsia="仿宋_GB2312"/>
      <w:b/>
      <w:sz w:val="24"/>
      <w:szCs w:val="20"/>
    </w:rPr>
  </w:style>
  <w:style w:type="character" w:customStyle="1" w:styleId="31">
    <w:name w:val="font21"/>
    <w:basedOn w:val="21"/>
    <w:qFormat/>
    <w:uiPriority w:val="0"/>
    <w:rPr>
      <w:rFonts w:hint="eastAsia" w:ascii="宋体" w:hAnsi="宋体" w:eastAsia="宋体" w:cs="宋体"/>
      <w:color w:val="000000"/>
      <w:sz w:val="22"/>
      <w:szCs w:val="22"/>
      <w:u w:val="none"/>
      <w:vertAlign w:val="superscript"/>
    </w:rPr>
  </w:style>
  <w:style w:type="character" w:customStyle="1" w:styleId="32">
    <w:name w:val="font01"/>
    <w:basedOn w:val="21"/>
    <w:qFormat/>
    <w:uiPriority w:val="0"/>
    <w:rPr>
      <w:rFonts w:hint="eastAsia" w:ascii="宋体" w:hAnsi="宋体" w:eastAsia="宋体" w:cs="宋体"/>
      <w:color w:val="000000"/>
      <w:sz w:val="22"/>
      <w:szCs w:val="22"/>
      <w:u w:val="none"/>
    </w:rPr>
  </w:style>
  <w:style w:type="character" w:customStyle="1" w:styleId="33">
    <w:name w:val="font31"/>
    <w:basedOn w:val="21"/>
    <w:qFormat/>
    <w:uiPriority w:val="0"/>
    <w:rPr>
      <w:rFonts w:hint="eastAsia" w:ascii="宋体" w:hAnsi="宋体" w:eastAsia="宋体" w:cs="宋体"/>
      <w:color w:val="000000"/>
      <w:sz w:val="22"/>
      <w:szCs w:val="22"/>
      <w:u w:val="none"/>
      <w:vertAlign w:val="superscript"/>
    </w:rPr>
  </w:style>
  <w:style w:type="character" w:customStyle="1" w:styleId="34">
    <w:name w:val="font41"/>
    <w:basedOn w:val="21"/>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6569</Words>
  <Characters>6899</Characters>
  <Lines>119</Lines>
  <Paragraphs>33</Paragraphs>
  <TotalTime>0</TotalTime>
  <ScaleCrop>false</ScaleCrop>
  <LinksUpToDate>false</LinksUpToDate>
  <CharactersWithSpaces>6966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2024-03-20T06:47:00Z</dcterms:created>
  <dc:creator>Dell</dc:creator>
  <cp:lastModifiedBy>L</cp:lastModifiedBy>
  <cp:lastPrinted>2024-03-21T02:02:00Z</cp:lastPrinted>
  <dcterms:modified xsi:type="dcterms:W3CDTF">2024-12-20T02:12:48Z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3C685D8077784592B36E3E7BFE41A55E_13</vt:lpwstr>
  </property>
</Properties>
</file>